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5116" w14:textId="77777777" w:rsidR="008811FF" w:rsidRDefault="008811FF" w:rsidP="008811FF">
      <w:pPr>
        <w:jc w:val="center"/>
        <w:rPr>
          <w:b/>
          <w:bCs/>
        </w:rPr>
      </w:pPr>
      <w:r>
        <w:rPr>
          <w:b/>
          <w:bCs/>
        </w:rPr>
        <w:t>Columbia River Gorge Commission</w:t>
      </w:r>
    </w:p>
    <w:p w14:paraId="62238F30" w14:textId="60CCFBFF" w:rsidR="008811FF" w:rsidRDefault="008811FF" w:rsidP="008811FF">
      <w:pPr>
        <w:jc w:val="center"/>
        <w:rPr>
          <w:b/>
          <w:bCs/>
        </w:rPr>
      </w:pPr>
      <w:r>
        <w:rPr>
          <w:b/>
          <w:bCs/>
        </w:rPr>
        <w:t>Rules Committee</w:t>
      </w:r>
    </w:p>
    <w:p w14:paraId="263BFB1A" w14:textId="1E051B92" w:rsidR="008166FC" w:rsidRPr="008166FC" w:rsidRDefault="008811FF" w:rsidP="008811FF">
      <w:pPr>
        <w:jc w:val="center"/>
        <w:rPr>
          <w:b/>
          <w:bCs/>
        </w:rPr>
      </w:pPr>
      <w:r>
        <w:rPr>
          <w:b/>
          <w:bCs/>
        </w:rPr>
        <w:t>Sec. 5(b) Rules Update D</w:t>
      </w:r>
      <w:r w:rsidR="008166FC" w:rsidRPr="008166FC">
        <w:rPr>
          <w:b/>
          <w:bCs/>
        </w:rPr>
        <w:t>iscussion</w:t>
      </w:r>
    </w:p>
    <w:p w14:paraId="0F8A4BFF" w14:textId="77777777" w:rsidR="008166FC" w:rsidRDefault="008166FC"/>
    <w:p w14:paraId="16291EA7" w14:textId="09290DA4" w:rsidR="008811FF" w:rsidRDefault="008811FF"/>
    <w:p w14:paraId="5018BE6C" w14:textId="439CB0FC" w:rsidR="008166FC" w:rsidRDefault="008166FC"/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3524"/>
        <w:gridCol w:w="5760"/>
      </w:tblGrid>
      <w:tr w:rsidR="00B83E11" w:rsidRPr="00C1370D" w14:paraId="2422D6F7" w14:textId="77777777" w:rsidTr="008A6803">
        <w:trPr>
          <w:trHeight w:val="720"/>
        </w:trPr>
        <w:tc>
          <w:tcPr>
            <w:tcW w:w="3524" w:type="dxa"/>
            <w:shd w:val="clear" w:color="auto" w:fill="60CAF3" w:themeFill="accent4" w:themeFillTint="99"/>
          </w:tcPr>
          <w:p w14:paraId="35409DB9" w14:textId="61A305C0" w:rsidR="00B83E11" w:rsidRPr="00C1370D" w:rsidRDefault="008E7925" w:rsidP="00513116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High-Level</w:t>
            </w:r>
            <w:r w:rsidR="00B83E11">
              <w:rPr>
                <w:b/>
                <w:bCs/>
                <w:sz w:val="32"/>
                <w:szCs w:val="32"/>
              </w:rPr>
              <w:t xml:space="preserve"> </w:t>
            </w:r>
            <w:r w:rsidR="009E20A7">
              <w:rPr>
                <w:b/>
                <w:bCs/>
                <w:sz w:val="32"/>
                <w:szCs w:val="32"/>
              </w:rPr>
              <w:t>Principles</w:t>
            </w:r>
          </w:p>
        </w:tc>
        <w:tc>
          <w:tcPr>
            <w:tcW w:w="5760" w:type="dxa"/>
            <w:shd w:val="clear" w:color="auto" w:fill="60CAF3" w:themeFill="accent4" w:themeFillTint="99"/>
          </w:tcPr>
          <w:p w14:paraId="6F8705A0" w14:textId="1160BAA4" w:rsidR="00B83E11" w:rsidRPr="00C1370D" w:rsidRDefault="008E7925" w:rsidP="00B83E11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Review Discussion at:</w:t>
            </w:r>
          </w:p>
        </w:tc>
      </w:tr>
      <w:tr w:rsidR="00B83E11" w14:paraId="2AE26D41" w14:textId="77777777" w:rsidTr="00FF395E">
        <w:tc>
          <w:tcPr>
            <w:tcW w:w="3524" w:type="dxa"/>
            <w:tcBorders>
              <w:top w:val="single" w:sz="12" w:space="0" w:color="auto"/>
            </w:tcBorders>
          </w:tcPr>
          <w:p w14:paraId="11F5B4E0" w14:textId="407273F8" w:rsidR="00B83E11" w:rsidRDefault="00E25F82" w:rsidP="00FF395E">
            <w:pPr>
              <w:spacing w:before="120" w:after="120"/>
            </w:pPr>
            <w:r>
              <w:t>The states’ laws on the subject</w:t>
            </w:r>
            <w:r w:rsidR="00A246B2">
              <w:t>s</w:t>
            </w:r>
            <w:r>
              <w:t xml:space="preserve"> in sec. 5(b) of the National Scenic Area Act do not directly apply to the Gorge Commission.</w:t>
            </w:r>
          </w:p>
        </w:tc>
        <w:tc>
          <w:tcPr>
            <w:tcW w:w="5760" w:type="dxa"/>
            <w:tcBorders>
              <w:top w:val="single" w:sz="12" w:space="0" w:color="auto"/>
            </w:tcBorders>
          </w:tcPr>
          <w:p w14:paraId="1E3923BE" w14:textId="5759A51A" w:rsidR="005F7588" w:rsidRDefault="005F7588" w:rsidP="00E25F82">
            <w:pPr>
              <w:spacing w:before="120" w:after="120"/>
            </w:pPr>
            <w:r>
              <w:t>Oct. 8, 2024, Staff Report at page 3</w:t>
            </w:r>
          </w:p>
          <w:p w14:paraId="1A28AFAC" w14:textId="604A5203" w:rsidR="00026F20" w:rsidRDefault="005F7588" w:rsidP="00E25F82">
            <w:pPr>
              <w:spacing w:before="120" w:after="120"/>
            </w:pPr>
            <w:r>
              <w:t>Report in Support of Rules at page 3</w:t>
            </w:r>
            <w:r w:rsidRPr="00026F20">
              <w:t xml:space="preserve"> (Wash. AGO letter)</w:t>
            </w:r>
            <w:r>
              <w:t>; pages 3–4</w:t>
            </w:r>
          </w:p>
        </w:tc>
      </w:tr>
      <w:tr w:rsidR="00E25F82" w14:paraId="4C5B76E5" w14:textId="77777777" w:rsidTr="00E25F82">
        <w:tc>
          <w:tcPr>
            <w:tcW w:w="3524" w:type="dxa"/>
            <w:tcBorders>
              <w:top w:val="single" w:sz="4" w:space="0" w:color="auto"/>
            </w:tcBorders>
          </w:tcPr>
          <w:p w14:paraId="5425B509" w14:textId="2B174C93" w:rsidR="00E25F82" w:rsidRDefault="00A246B2" w:rsidP="00AC5E70">
            <w:pPr>
              <w:spacing w:before="120" w:after="120"/>
            </w:pPr>
            <w:r>
              <w:t>Neither the Act nor court decisions provide p</w:t>
            </w:r>
            <w:r w:rsidR="00E25F82">
              <w:t>rincipled bases to determine whether one state’s statutory provisions are more restrictive than the other state’s statutory provisions.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59EF0A9" w14:textId="251FA858" w:rsidR="00E25F82" w:rsidRDefault="00E25F82" w:rsidP="00AC5E70">
            <w:pPr>
              <w:spacing w:before="120" w:after="120"/>
            </w:pPr>
            <w:r>
              <w:t>Oct. 8, 2024</w:t>
            </w:r>
            <w:r w:rsidR="005F7588">
              <w:t>,</w:t>
            </w:r>
            <w:r>
              <w:t xml:space="preserve"> Staff Report at page 3</w:t>
            </w:r>
          </w:p>
          <w:p w14:paraId="7D836DCA" w14:textId="027DEBEF" w:rsidR="00E25F82" w:rsidRDefault="00E25F82" w:rsidP="00AC5E70">
            <w:pPr>
              <w:spacing w:before="120" w:after="120"/>
            </w:pPr>
            <w:r>
              <w:t>Report in Support of Rules at page 3</w:t>
            </w:r>
            <w:r w:rsidRPr="00026F20">
              <w:t xml:space="preserve"> (Wash. AGO letter)</w:t>
            </w:r>
            <w:r>
              <w:t>; pages 6</w:t>
            </w:r>
            <w:r w:rsidR="005F7588">
              <w:t>–7</w:t>
            </w:r>
            <w:r>
              <w:t xml:space="preserve"> (draft interpretation of “more restrictive)</w:t>
            </w:r>
          </w:p>
          <w:p w14:paraId="3617DBE3" w14:textId="77777777" w:rsidR="00E25F82" w:rsidRDefault="00E25F82" w:rsidP="00AC5E70">
            <w:pPr>
              <w:spacing w:before="120" w:after="120"/>
            </w:pPr>
          </w:p>
        </w:tc>
      </w:tr>
      <w:tr w:rsidR="00E25F82" w14:paraId="31217C8E" w14:textId="77777777" w:rsidTr="00AC5E70">
        <w:tc>
          <w:tcPr>
            <w:tcW w:w="3524" w:type="dxa"/>
          </w:tcPr>
          <w:p w14:paraId="6BED0A74" w14:textId="6C8E86D0" w:rsidR="00E25F82" w:rsidRDefault="001407DB" w:rsidP="00AC5E70">
            <w:pPr>
              <w:spacing w:before="120" w:after="120"/>
            </w:pPr>
            <w:r>
              <w:t>The Commission’s r</w:t>
            </w:r>
            <w:r w:rsidR="00E25F82">
              <w:t>ules</w:t>
            </w:r>
            <w:r>
              <w:t xml:space="preserve"> are</w:t>
            </w:r>
            <w:r w:rsidR="00E25F82">
              <w:t xml:space="preserve"> “for the conduct of [the Gorge Commission’s] business.”</w:t>
            </w:r>
          </w:p>
        </w:tc>
        <w:tc>
          <w:tcPr>
            <w:tcW w:w="5760" w:type="dxa"/>
          </w:tcPr>
          <w:p w14:paraId="7FB6E71E" w14:textId="4A89FFE6" w:rsidR="00E25F82" w:rsidRDefault="00E25F82" w:rsidP="00AC5E70">
            <w:pPr>
              <w:spacing w:before="120" w:after="120"/>
            </w:pPr>
            <w:r>
              <w:t>Oct. 8, 2024</w:t>
            </w:r>
            <w:r w:rsidR="005F7588">
              <w:t>,</w:t>
            </w:r>
            <w:r>
              <w:t xml:space="preserve"> Staff Report at page 3</w:t>
            </w:r>
          </w:p>
          <w:p w14:paraId="26CD6828" w14:textId="77777777" w:rsidR="00E25F82" w:rsidRPr="00026F20" w:rsidRDefault="00E25F82" w:rsidP="00AC5E70">
            <w:pPr>
              <w:spacing w:before="120" w:after="120"/>
            </w:pPr>
            <w:r>
              <w:t xml:space="preserve">Report </w:t>
            </w:r>
            <w:proofErr w:type="gramStart"/>
            <w:r>
              <w:t>in</w:t>
            </w:r>
            <w:proofErr w:type="gramEnd"/>
            <w:r>
              <w:t xml:space="preserve"> Support of Rules at page 4 (</w:t>
            </w:r>
            <w:r>
              <w:rPr>
                <w:i/>
                <w:iCs/>
              </w:rPr>
              <w:t>Handy</w:t>
            </w:r>
            <w:r>
              <w:t xml:space="preserve"> case); page 5 (Or. DOJ letter)</w:t>
            </w:r>
          </w:p>
        </w:tc>
      </w:tr>
      <w:tr w:rsidR="00E25F82" w14:paraId="0AEED49D" w14:textId="77777777" w:rsidTr="00F4196F">
        <w:tc>
          <w:tcPr>
            <w:tcW w:w="3524" w:type="dxa"/>
          </w:tcPr>
          <w:p w14:paraId="6CB42C00" w14:textId="25E18FB2" w:rsidR="00E25F82" w:rsidRDefault="00E25F82" w:rsidP="00AC5E70">
            <w:pPr>
              <w:spacing w:before="120" w:after="120"/>
            </w:pPr>
            <w:r>
              <w:t xml:space="preserve">The enforcement </w:t>
            </w:r>
            <w:r w:rsidR="00A246B2">
              <w:t xml:space="preserve">and remedies </w:t>
            </w:r>
            <w:r>
              <w:t xml:space="preserve">provisions in </w:t>
            </w:r>
            <w:r w:rsidR="00A246B2">
              <w:t>the states’</w:t>
            </w:r>
            <w:r>
              <w:t xml:space="preserve"> laws conflict with the enforcement provisions of the National Scenic Area Act and thus are not included in the rules.</w:t>
            </w:r>
          </w:p>
        </w:tc>
        <w:tc>
          <w:tcPr>
            <w:tcW w:w="5760" w:type="dxa"/>
          </w:tcPr>
          <w:p w14:paraId="495830EC" w14:textId="2B2B02C8" w:rsidR="005F7588" w:rsidRDefault="005F7588" w:rsidP="00AC5E70">
            <w:pPr>
              <w:spacing w:before="120" w:after="120"/>
            </w:pPr>
            <w:r>
              <w:t>Oct. 8, 2024, Staff Report at page 3</w:t>
            </w:r>
          </w:p>
          <w:p w14:paraId="5708E2BA" w14:textId="212FFF0C" w:rsidR="00E25F82" w:rsidRDefault="00E25F82" w:rsidP="00AC5E70">
            <w:pPr>
              <w:spacing w:before="120" w:after="120"/>
            </w:pPr>
            <w:r>
              <w:t xml:space="preserve">Report </w:t>
            </w:r>
            <w:proofErr w:type="gramStart"/>
            <w:r>
              <w:t>in</w:t>
            </w:r>
            <w:proofErr w:type="gramEnd"/>
            <w:r>
              <w:t xml:space="preserve"> Support of Rules at page 7 (discussion of state enforcement provisions)</w:t>
            </w:r>
          </w:p>
        </w:tc>
      </w:tr>
      <w:tr w:rsidR="00B83E11" w14:paraId="2888C5F8" w14:textId="77777777" w:rsidTr="00FF395E">
        <w:tc>
          <w:tcPr>
            <w:tcW w:w="3524" w:type="dxa"/>
          </w:tcPr>
          <w:p w14:paraId="7957DD35" w14:textId="75934C80" w:rsidR="00B83E11" w:rsidRPr="00332839" w:rsidRDefault="00B83E11" w:rsidP="00FF395E">
            <w:pPr>
              <w:spacing w:before="120" w:after="120"/>
              <w:rPr>
                <w:highlight w:val="green"/>
              </w:rPr>
            </w:pPr>
          </w:p>
        </w:tc>
        <w:tc>
          <w:tcPr>
            <w:tcW w:w="5760" w:type="dxa"/>
          </w:tcPr>
          <w:p w14:paraId="3ACE3C08" w14:textId="77777777" w:rsidR="00B83E11" w:rsidRDefault="00B83E11" w:rsidP="00513116">
            <w:pPr>
              <w:spacing w:before="120" w:after="120"/>
            </w:pPr>
          </w:p>
        </w:tc>
      </w:tr>
    </w:tbl>
    <w:p w14:paraId="1A60A95D" w14:textId="77777777" w:rsidR="008166FC" w:rsidRDefault="008166FC"/>
    <w:p w14:paraId="7B42427A" w14:textId="77777777" w:rsidR="008166FC" w:rsidRDefault="008166FC"/>
    <w:p w14:paraId="1BD3F9F8" w14:textId="77777777" w:rsidR="00924DCB" w:rsidRDefault="00924DCB">
      <w:r>
        <w:br w:type="page"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</w:tblGrid>
      <w:tr w:rsidR="009E20A7" w:rsidRPr="00C1370D" w14:paraId="33FEDAF9" w14:textId="77777777" w:rsidTr="00F53118">
        <w:trPr>
          <w:trHeight w:val="475"/>
        </w:trPr>
        <w:tc>
          <w:tcPr>
            <w:tcW w:w="3600" w:type="dxa"/>
            <w:vMerge w:val="restart"/>
            <w:shd w:val="clear" w:color="auto" w:fill="60CAF3" w:themeFill="accent4" w:themeFillTint="99"/>
          </w:tcPr>
          <w:p w14:paraId="58CF4E54" w14:textId="28067C1C" w:rsidR="009E20A7" w:rsidRPr="00C1370D" w:rsidRDefault="009E20A7" w:rsidP="004D16C3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Most significant differences between Oregon and Washington laws</w:t>
            </w:r>
          </w:p>
        </w:tc>
        <w:tc>
          <w:tcPr>
            <w:tcW w:w="5760" w:type="dxa"/>
            <w:gridSpan w:val="4"/>
            <w:shd w:val="clear" w:color="auto" w:fill="60CAF3" w:themeFill="accent4" w:themeFillTint="99"/>
            <w:vAlign w:val="center"/>
          </w:tcPr>
          <w:p w14:paraId="23FCCADA" w14:textId="77777777" w:rsidR="009E20A7" w:rsidRPr="00C1370D" w:rsidRDefault="009E20A7" w:rsidP="004D16C3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C1370D">
              <w:rPr>
                <w:b/>
                <w:bCs/>
                <w:sz w:val="32"/>
                <w:szCs w:val="32"/>
              </w:rPr>
              <w:t>Rule Sections</w:t>
            </w:r>
          </w:p>
        </w:tc>
      </w:tr>
      <w:tr w:rsidR="009E20A7" w:rsidRPr="005F3EF3" w14:paraId="1A8A9E8B" w14:textId="77777777" w:rsidTr="00F53118">
        <w:tc>
          <w:tcPr>
            <w:tcW w:w="3600" w:type="dxa"/>
            <w:vMerge/>
            <w:tcBorders>
              <w:bottom w:val="single" w:sz="12" w:space="0" w:color="auto"/>
            </w:tcBorders>
            <w:vAlign w:val="center"/>
          </w:tcPr>
          <w:p w14:paraId="53234AC3" w14:textId="77777777" w:rsidR="009E20A7" w:rsidRPr="005F3EF3" w:rsidRDefault="009E20A7" w:rsidP="004D16C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BF7FF8C" w14:textId="77777777" w:rsidR="009E20A7" w:rsidRDefault="009E20A7" w:rsidP="004D16C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Open Meetings</w:t>
            </w:r>
          </w:p>
          <w:p w14:paraId="44135621" w14:textId="77777777" w:rsidR="009E20A7" w:rsidRPr="005F3EF3" w:rsidRDefault="009E20A7" w:rsidP="004D16C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350-011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4DC19A3" w14:textId="77777777" w:rsidR="009E20A7" w:rsidRDefault="009E20A7" w:rsidP="004D16C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Public Records</w:t>
            </w:r>
          </w:p>
          <w:p w14:paraId="7AD06065" w14:textId="77777777" w:rsidR="009E20A7" w:rsidRPr="005F3EF3" w:rsidRDefault="009E20A7" w:rsidP="004D16C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350-012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70F0F42" w14:textId="77777777" w:rsidR="009E20A7" w:rsidRDefault="009E20A7" w:rsidP="004D16C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Conflicts of Interest</w:t>
            </w:r>
          </w:p>
          <w:p w14:paraId="07C92787" w14:textId="77777777" w:rsidR="009E20A7" w:rsidRPr="005F3EF3" w:rsidRDefault="009E20A7" w:rsidP="004D16C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350-014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AFE23A2" w14:textId="77777777" w:rsidR="009E20A7" w:rsidRDefault="009E20A7" w:rsidP="004D16C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Admin. Procedure</w:t>
            </w:r>
          </w:p>
          <w:p w14:paraId="12A9E388" w14:textId="77777777" w:rsidR="009E20A7" w:rsidRPr="005F3EF3" w:rsidRDefault="009E20A7" w:rsidP="004D16C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350-016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9E20A7" w14:paraId="3EE1A1AB" w14:textId="77777777" w:rsidTr="00B03E94">
        <w:tc>
          <w:tcPr>
            <w:tcW w:w="3600" w:type="dxa"/>
            <w:shd w:val="clear" w:color="auto" w:fill="CAEDFB" w:themeFill="accent4" w:themeFillTint="33"/>
          </w:tcPr>
          <w:p w14:paraId="53DBCB16" w14:textId="77777777" w:rsidR="00CD1368" w:rsidRDefault="00CD1368" w:rsidP="00CD1368">
            <w:pPr>
              <w:spacing w:before="120" w:after="120"/>
            </w:pPr>
            <w:proofErr w:type="gramStart"/>
            <w:r>
              <w:t>Form of meetings</w:t>
            </w:r>
            <w:proofErr w:type="gramEnd"/>
            <w:r>
              <w:t>:</w:t>
            </w:r>
          </w:p>
          <w:p w14:paraId="52F0EE92" w14:textId="3AF1E112" w:rsidR="00CD1368" w:rsidRDefault="008D52FA" w:rsidP="00CD1368">
            <w:pPr>
              <w:spacing w:before="120" w:after="120"/>
            </w:pPr>
            <w:r>
              <w:t>ORS 192.670</w:t>
            </w:r>
            <w:r w:rsidR="00E81332">
              <w:t xml:space="preserve"> permits remote-only </w:t>
            </w:r>
            <w:proofErr w:type="gramStart"/>
            <w:r w:rsidR="00E81332">
              <w:t>meetings</w:t>
            </w:r>
            <w:proofErr w:type="gramEnd"/>
            <w:r>
              <w:t xml:space="preserve"> but they must be hybrid;</w:t>
            </w:r>
            <w:r w:rsidR="00E81332">
              <w:t xml:space="preserve"> </w:t>
            </w:r>
            <w:r w:rsidR="00315887">
              <w:t>RCW 42.30.230 only allow</w:t>
            </w:r>
            <w:r>
              <w:t>s</w:t>
            </w:r>
            <w:r w:rsidR="00315887">
              <w:t xml:space="preserve"> remote meetings without </w:t>
            </w:r>
            <w:r>
              <w:t>a physical location in the event of an emergency.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7FFD3A17" w14:textId="4E4938B6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0AA8981" w14:textId="77777777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1969EB2A" w14:textId="77777777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0F6F60CF" w14:textId="77777777" w:rsidR="009E20A7" w:rsidRDefault="009E20A7" w:rsidP="004D16C3">
            <w:pPr>
              <w:spacing w:before="120" w:after="120"/>
            </w:pPr>
          </w:p>
        </w:tc>
      </w:tr>
      <w:tr w:rsidR="00B03E94" w14:paraId="5B31009F" w14:textId="77777777" w:rsidTr="00A07306"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14:paraId="2CFF5A1E" w14:textId="77777777" w:rsidR="00B03E94" w:rsidRDefault="00B03E94" w:rsidP="004D16C3">
            <w:pPr>
              <w:spacing w:before="120" w:after="120"/>
            </w:pPr>
          </w:p>
        </w:tc>
      </w:tr>
      <w:tr w:rsidR="009E20A7" w14:paraId="7ECEE3F3" w14:textId="77777777" w:rsidTr="00B03E94">
        <w:tc>
          <w:tcPr>
            <w:tcW w:w="360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7103E6FF" w14:textId="51EEDCAF" w:rsidR="00464F93" w:rsidRDefault="00DB7F50" w:rsidP="004D16C3">
            <w:pPr>
              <w:spacing w:before="120" w:after="120"/>
            </w:pPr>
            <w:r>
              <w:t xml:space="preserve">Executive Session topics and Public </w:t>
            </w:r>
            <w:r w:rsidR="00E81332">
              <w:t>R</w:t>
            </w:r>
            <w:r>
              <w:t>ecord exemptions (</w:t>
            </w:r>
            <w:r w:rsidR="00991E4A">
              <w:t xml:space="preserve">Should we </w:t>
            </w:r>
            <w:r>
              <w:t>hold executive session</w:t>
            </w:r>
            <w:r w:rsidR="00991E4A">
              <w:t>s</w:t>
            </w:r>
            <w:r>
              <w:t xml:space="preserve"> </w:t>
            </w:r>
            <w:r w:rsidR="00991E4A">
              <w:t>and</w:t>
            </w:r>
            <w:r>
              <w:t xml:space="preserve"> exempt record</w:t>
            </w:r>
            <w:r w:rsidR="00991E4A">
              <w:t>s</w:t>
            </w:r>
            <w:r>
              <w:t xml:space="preserve"> from disclosure when either state allows</w:t>
            </w:r>
            <w:r w:rsidR="00991E4A">
              <w:t xml:space="preserve"> or only when both states allow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3DC1C896" w14:textId="3C4D7701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4E38F763" w14:textId="6A117F4C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7A776315" w14:textId="77777777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51211FD4" w14:textId="77777777" w:rsidR="009E20A7" w:rsidRDefault="009E20A7" w:rsidP="004D16C3">
            <w:pPr>
              <w:spacing w:before="120" w:after="120"/>
            </w:pPr>
          </w:p>
        </w:tc>
      </w:tr>
      <w:tr w:rsidR="00B03E94" w14:paraId="293B20DD" w14:textId="77777777" w:rsidTr="00430CF5">
        <w:tc>
          <w:tcPr>
            <w:tcW w:w="9360" w:type="dxa"/>
            <w:gridSpan w:val="5"/>
          </w:tcPr>
          <w:p w14:paraId="0DFFCBD3" w14:textId="77777777" w:rsidR="00B03E94" w:rsidRDefault="00B03E94" w:rsidP="004D16C3">
            <w:pPr>
              <w:spacing w:before="120" w:after="120"/>
            </w:pPr>
          </w:p>
        </w:tc>
      </w:tr>
      <w:tr w:rsidR="009E20A7" w14:paraId="60638D7A" w14:textId="77777777" w:rsidTr="00B03E94">
        <w:tc>
          <w:tcPr>
            <w:tcW w:w="3600" w:type="dxa"/>
            <w:shd w:val="clear" w:color="auto" w:fill="CAEDFB" w:themeFill="accent4" w:themeFillTint="33"/>
          </w:tcPr>
          <w:p w14:paraId="620BDC9C" w14:textId="3DB2812C" w:rsidR="009E20A7" w:rsidRDefault="00991E4A" w:rsidP="004D16C3">
            <w:pPr>
              <w:spacing w:before="120" w:after="120"/>
            </w:pPr>
            <w:r>
              <w:t>Ex parte communication: Washington law</w:t>
            </w:r>
            <w:r w:rsidR="003E22BC">
              <w:t>s</w:t>
            </w:r>
            <w:r>
              <w:t xml:space="preserve"> differ</w:t>
            </w:r>
            <w:r w:rsidR="00B03E94">
              <w:t xml:space="preserve"> on whether </w:t>
            </w:r>
            <w:proofErr w:type="gramStart"/>
            <w:r w:rsidR="00B03E94">
              <w:t>a</w:t>
            </w:r>
            <w:r w:rsidR="003E22BC">
              <w:t xml:space="preserve"> pre</w:t>
            </w:r>
            <w:proofErr w:type="gramEnd"/>
            <w:r w:rsidR="003E22BC">
              <w:t>-proceeding</w:t>
            </w:r>
            <w:r w:rsidR="00B03E94">
              <w:t xml:space="preserve"> </w:t>
            </w:r>
            <w:r w:rsidR="003E22BC">
              <w:t xml:space="preserve">ex parte </w:t>
            </w:r>
            <w:r w:rsidR="00B03E94">
              <w:t>communication must be disclosed</w:t>
            </w:r>
            <w:r w:rsidR="00A246B2">
              <w:t xml:space="preserve">. </w:t>
            </w:r>
            <w:r w:rsidR="003E22BC">
              <w:t>Oregon law does not require disclosure of pre-proceeding ex parte communications.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7C1B25E8" w14:textId="77777777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88A424C" w14:textId="77777777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2B1E31C1" w14:textId="16E1FF66" w:rsidR="009E20A7" w:rsidRDefault="00991E4A" w:rsidP="004D16C3">
            <w:pPr>
              <w:spacing w:before="120" w:after="120"/>
            </w:pPr>
            <w:r>
              <w:t>0140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40679247" w14:textId="38FDC3DA" w:rsidR="009E20A7" w:rsidRDefault="00991E4A" w:rsidP="004D16C3">
            <w:pPr>
              <w:spacing w:before="120" w:after="120"/>
            </w:pPr>
            <w:r>
              <w:t>0140(4)</w:t>
            </w:r>
          </w:p>
        </w:tc>
      </w:tr>
      <w:tr w:rsidR="0004589D" w14:paraId="1F375271" w14:textId="77777777" w:rsidTr="00F53118">
        <w:tc>
          <w:tcPr>
            <w:tcW w:w="9360" w:type="dxa"/>
            <w:gridSpan w:val="5"/>
          </w:tcPr>
          <w:p w14:paraId="2F5C32A8" w14:textId="77777777" w:rsidR="00A246B2" w:rsidRDefault="00764930" w:rsidP="004D16C3">
            <w:pPr>
              <w:spacing w:before="120" w:after="120"/>
            </w:pPr>
            <w:r>
              <w:t>350-014-0140 is a cross-reference to 350-016-0140(4).</w:t>
            </w:r>
          </w:p>
          <w:p w14:paraId="6BF67777" w14:textId="70DB7D20" w:rsidR="00C41F55" w:rsidRDefault="00C41F55" w:rsidP="004D16C3">
            <w:pPr>
              <w:spacing w:before="120" w:after="120"/>
            </w:pPr>
            <w:r>
              <w:t xml:space="preserve">RCW </w:t>
            </w:r>
            <w:r w:rsidRPr="008953C8">
              <w:t>34.05.455</w:t>
            </w:r>
            <w:r>
              <w:t>(4)</w:t>
            </w:r>
            <w:r w:rsidRPr="008953C8">
              <w:t xml:space="preserve"> </w:t>
            </w:r>
            <w:r>
              <w:t>(a part of the Washington APA) suggests disclosure is required for pre-proceeding ex parte communications and RCW 42.36.060 (a part of the Washington Appearance of Fairness doctrine) only requires disclosure for communications</w:t>
            </w:r>
            <w:r w:rsidRPr="008953C8">
              <w:t xml:space="preserve"> </w:t>
            </w:r>
            <w:r>
              <w:t>after a proceeding has started.</w:t>
            </w:r>
          </w:p>
          <w:p w14:paraId="33EF4BA9" w14:textId="64E72156" w:rsidR="00B03E94" w:rsidRDefault="003E22BC" w:rsidP="004D16C3">
            <w:pPr>
              <w:spacing w:before="120" w:after="120"/>
            </w:pPr>
            <w:r>
              <w:t>The Washington APA</w:t>
            </w:r>
            <w:r w:rsidR="00C41F55">
              <w:t xml:space="preserve"> only</w:t>
            </w:r>
            <w:r w:rsidR="0004589D">
              <w:t xml:space="preserve"> applies to Washington state agencies</w:t>
            </w:r>
            <w:r w:rsidR="00C41F55">
              <w:t xml:space="preserve"> and t</w:t>
            </w:r>
            <w:r>
              <w:t>he Appearance of Fairness doctrine</w:t>
            </w:r>
            <w:r w:rsidR="00C41F55">
              <w:t xml:space="preserve"> only</w:t>
            </w:r>
            <w:r>
              <w:t xml:space="preserve"> </w:t>
            </w:r>
            <w:r w:rsidR="0004589D">
              <w:t>applies to Washington local governments</w:t>
            </w:r>
            <w:r w:rsidR="00C41F55">
              <w:t>, so t</w:t>
            </w:r>
            <w:r w:rsidR="00942260">
              <w:t>his is not a conflict for Washington state agencies or local governments</w:t>
            </w:r>
            <w:r w:rsidR="00C41F55">
              <w:t xml:space="preserve">. This </w:t>
            </w:r>
            <w:r w:rsidR="00942260">
              <w:t xml:space="preserve">is a conflict for the Gorge Commission because the Act requires the Commission to have rules </w:t>
            </w:r>
            <w:r>
              <w:t>consistent with the more restrictive of the states’ laws on</w:t>
            </w:r>
            <w:r w:rsidR="00942260">
              <w:t xml:space="preserve"> administrative procedure </w:t>
            </w:r>
            <w:r>
              <w:t xml:space="preserve">(i.e., the APA) </w:t>
            </w:r>
            <w:r w:rsidR="00942260">
              <w:t>and appearance of fairness</w:t>
            </w:r>
            <w:r w:rsidR="0004589D">
              <w:t>.</w:t>
            </w:r>
            <w:r w:rsidR="00942260">
              <w:t xml:space="preserve"> </w:t>
            </w:r>
            <w:r w:rsidR="00200A2C">
              <w:t xml:space="preserve">The conflict is </w:t>
            </w:r>
            <w:r w:rsidR="00F53118">
              <w:t xml:space="preserve">whether </w:t>
            </w:r>
            <w:r w:rsidR="00444D79">
              <w:t xml:space="preserve">gorge </w:t>
            </w:r>
            <w:r w:rsidR="00F53118">
              <w:t xml:space="preserve">commissioners must </w:t>
            </w:r>
            <w:r w:rsidR="00200A2C">
              <w:t xml:space="preserve">disclose only </w:t>
            </w:r>
            <w:r w:rsidR="00F53118">
              <w:t xml:space="preserve">communications </w:t>
            </w:r>
            <w:r w:rsidR="00200A2C">
              <w:t xml:space="preserve">occurring </w:t>
            </w:r>
            <w:r w:rsidR="00C41F55">
              <w:t xml:space="preserve">after a </w:t>
            </w:r>
            <w:r w:rsidR="00200A2C">
              <w:lastRenderedPageBreak/>
              <w:t xml:space="preserve">proceeding </w:t>
            </w:r>
            <w:r w:rsidR="00C41F55">
              <w:t>has started at the Gorge Commission (</w:t>
            </w:r>
            <w:r w:rsidR="00C41F55">
              <w:rPr>
                <w:i/>
                <w:iCs/>
              </w:rPr>
              <w:t>i.e.</w:t>
            </w:r>
            <w:r w:rsidR="00C41F55">
              <w:t xml:space="preserve">, </w:t>
            </w:r>
            <w:r w:rsidR="00A246B2">
              <w:t>after</w:t>
            </w:r>
            <w:r w:rsidR="00C41F55">
              <w:t xml:space="preserve"> an appeal is filed, or an enforcement action is started, etc.) </w:t>
            </w:r>
            <w:r w:rsidR="00200A2C">
              <w:t xml:space="preserve">or </w:t>
            </w:r>
            <w:r w:rsidR="00F53118">
              <w:t>communications</w:t>
            </w:r>
            <w:r w:rsidR="00200A2C">
              <w:t xml:space="preserve"> that occurred before </w:t>
            </w:r>
            <w:r w:rsidR="00C41F55">
              <w:t>a proceeding has started</w:t>
            </w:r>
            <w:r w:rsidR="00200A2C">
              <w:t xml:space="preserve">. </w:t>
            </w:r>
            <w:r w:rsidR="00942260">
              <w:t xml:space="preserve">Oregon law </w:t>
            </w:r>
            <w:r w:rsidR="00444D79">
              <w:t xml:space="preserve">only prohibits ex parte communications (and thus requires disclosure of inadvertent communications) </w:t>
            </w:r>
            <w:r w:rsidR="00942260">
              <w:t xml:space="preserve">only </w:t>
            </w:r>
            <w:r w:rsidR="00C41F55">
              <w:t>after</w:t>
            </w:r>
            <w:r w:rsidR="00942260">
              <w:t xml:space="preserve"> a proceeding</w:t>
            </w:r>
            <w:r w:rsidR="00C41F55">
              <w:t xml:space="preserve"> has started</w:t>
            </w:r>
            <w:r w:rsidR="0049088B">
              <w:t xml:space="preserve">; however, </w:t>
            </w:r>
            <w:r w:rsidR="00C41F55">
              <w:t xml:space="preserve">there is case law establishing that </w:t>
            </w:r>
            <w:r w:rsidR="00942260">
              <w:t>prior communications can cause impermissi</w:t>
            </w:r>
            <w:r w:rsidR="00200A2C">
              <w:t>ble bias</w:t>
            </w:r>
            <w:r w:rsidR="00942260">
              <w:t>.</w:t>
            </w:r>
          </w:p>
          <w:p w14:paraId="69FCB84D" w14:textId="7D4B5A40" w:rsidR="00200A2C" w:rsidRDefault="00B03E94" w:rsidP="004D16C3">
            <w:pPr>
              <w:spacing w:before="120" w:after="120"/>
            </w:pPr>
            <w:r>
              <w:t xml:space="preserve">The draft rule </w:t>
            </w:r>
            <w:r w:rsidR="00200A2C">
              <w:t>specif</w:t>
            </w:r>
            <w:r>
              <w:t>ies</w:t>
            </w:r>
            <w:r w:rsidR="00200A2C">
              <w:t xml:space="preserve"> that the</w:t>
            </w:r>
            <w:r w:rsidR="0049088B">
              <w:t xml:space="preserve"> disclosure requirement extends to</w:t>
            </w:r>
            <w:r w:rsidR="00444D79">
              <w:t xml:space="preserve"> ex parte</w:t>
            </w:r>
            <w:r w:rsidR="0049088B">
              <w:t xml:space="preserve"> communications </w:t>
            </w:r>
            <w:r w:rsidR="00444D79">
              <w:t>before a proceeding has started at the</w:t>
            </w:r>
            <w:r w:rsidR="0049088B">
              <w:t xml:space="preserve"> Gorge Commission. This seems like the more restrictive </w:t>
            </w:r>
            <w:r w:rsidR="00BF7750">
              <w:t>provision because it results in more transparency</w:t>
            </w:r>
            <w:r w:rsidR="0049088B">
              <w:t>. But</w:t>
            </w:r>
            <w:r w:rsidR="00BF7750">
              <w:t xml:space="preserve"> t</w:t>
            </w:r>
            <w:r w:rsidR="0049088B">
              <w:t>his approach comes with the complexity of commissioners not knowing which communications to document in case a later disclosure is needed.</w:t>
            </w:r>
          </w:p>
        </w:tc>
      </w:tr>
      <w:tr w:rsidR="00F53118" w14:paraId="7F6A1251" w14:textId="77777777" w:rsidTr="00BB6861">
        <w:tc>
          <w:tcPr>
            <w:tcW w:w="3600" w:type="dxa"/>
            <w:shd w:val="clear" w:color="auto" w:fill="CAEDFB" w:themeFill="accent4" w:themeFillTint="33"/>
          </w:tcPr>
          <w:p w14:paraId="57F29A1A" w14:textId="77777777" w:rsidR="00F53118" w:rsidRDefault="00F53118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110EC538" w14:textId="77777777" w:rsidR="00F53118" w:rsidRDefault="00F53118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7EB0ACCA" w14:textId="77777777" w:rsidR="00F53118" w:rsidRDefault="00F53118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5AE1AB1B" w14:textId="77777777" w:rsidR="00F53118" w:rsidRDefault="00F53118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1E6E100A" w14:textId="77777777" w:rsidR="00F53118" w:rsidRDefault="00F53118" w:rsidP="004D16C3">
            <w:pPr>
              <w:spacing w:before="120" w:after="120"/>
            </w:pPr>
          </w:p>
        </w:tc>
      </w:tr>
      <w:tr w:rsidR="00BB6861" w14:paraId="4E93CF57" w14:textId="77777777" w:rsidTr="007E7F4A">
        <w:tc>
          <w:tcPr>
            <w:tcW w:w="9360" w:type="dxa"/>
            <w:gridSpan w:val="5"/>
          </w:tcPr>
          <w:p w14:paraId="578CC5F9" w14:textId="77777777" w:rsidR="00BB6861" w:rsidRDefault="00BB6861" w:rsidP="004D16C3">
            <w:pPr>
              <w:spacing w:before="120" w:after="120"/>
            </w:pPr>
          </w:p>
        </w:tc>
      </w:tr>
    </w:tbl>
    <w:p w14:paraId="19367265" w14:textId="77777777" w:rsidR="009E20A7" w:rsidRDefault="009E20A7"/>
    <w:p w14:paraId="29136BDB" w14:textId="77777777" w:rsidR="009E20A7" w:rsidRDefault="009E20A7"/>
    <w:p w14:paraId="0206C014" w14:textId="77777777" w:rsidR="00924DCB" w:rsidRDefault="00924DCB">
      <w:r>
        <w:br w:type="page"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</w:tblGrid>
      <w:tr w:rsidR="005F3EF3" w:rsidRPr="00C1370D" w14:paraId="5BA65005" w14:textId="04A4AAC0" w:rsidTr="008A6803">
        <w:trPr>
          <w:trHeight w:val="475"/>
        </w:trPr>
        <w:tc>
          <w:tcPr>
            <w:tcW w:w="3600" w:type="dxa"/>
            <w:vMerge w:val="restart"/>
            <w:shd w:val="clear" w:color="auto" w:fill="60CAF3" w:themeFill="accent4" w:themeFillTint="99"/>
          </w:tcPr>
          <w:p w14:paraId="2092E681" w14:textId="2E29509F" w:rsidR="005F3EF3" w:rsidRPr="00C1370D" w:rsidRDefault="004A073A" w:rsidP="005F3EF3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Factors </w:t>
            </w:r>
            <w:r w:rsidR="005F3EF3" w:rsidRPr="00C1370D">
              <w:rPr>
                <w:b/>
                <w:bCs/>
                <w:sz w:val="32"/>
                <w:szCs w:val="32"/>
              </w:rPr>
              <w:t>for Rule</w:t>
            </w:r>
            <w:r>
              <w:rPr>
                <w:b/>
                <w:bCs/>
                <w:sz w:val="32"/>
                <w:szCs w:val="32"/>
              </w:rPr>
              <w:t xml:space="preserve"> Changes</w:t>
            </w:r>
          </w:p>
        </w:tc>
        <w:tc>
          <w:tcPr>
            <w:tcW w:w="5760" w:type="dxa"/>
            <w:gridSpan w:val="4"/>
            <w:shd w:val="clear" w:color="auto" w:fill="60CAF3" w:themeFill="accent4" w:themeFillTint="99"/>
            <w:vAlign w:val="center"/>
          </w:tcPr>
          <w:p w14:paraId="2EC827A8" w14:textId="7EEBD153" w:rsidR="005F3EF3" w:rsidRPr="00C1370D" w:rsidRDefault="005F3EF3" w:rsidP="005F3EF3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C1370D">
              <w:rPr>
                <w:b/>
                <w:bCs/>
                <w:sz w:val="32"/>
                <w:szCs w:val="32"/>
              </w:rPr>
              <w:t>Rule Sections</w:t>
            </w:r>
          </w:p>
        </w:tc>
      </w:tr>
      <w:tr w:rsidR="000045B4" w:rsidRPr="005F3EF3" w14:paraId="26896B70" w14:textId="4FA622E2" w:rsidTr="005F3EF3">
        <w:tc>
          <w:tcPr>
            <w:tcW w:w="3600" w:type="dxa"/>
            <w:vMerge/>
            <w:tcBorders>
              <w:bottom w:val="single" w:sz="12" w:space="0" w:color="auto"/>
            </w:tcBorders>
            <w:vAlign w:val="center"/>
          </w:tcPr>
          <w:p w14:paraId="1658C54F" w14:textId="7882EF93" w:rsidR="005F3EF3" w:rsidRPr="005F3EF3" w:rsidRDefault="005F3EF3" w:rsidP="00B64DE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0D035A7" w14:textId="77777777" w:rsidR="005F3EF3" w:rsidRDefault="005F3EF3" w:rsidP="005F3EF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Open Meetings</w:t>
            </w:r>
          </w:p>
          <w:p w14:paraId="669613FB" w14:textId="063AD41A" w:rsidR="005F3EF3" w:rsidRPr="005F3EF3" w:rsidRDefault="005F3EF3" w:rsidP="005F3EF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350-011</w:t>
            </w:r>
            <w:r w:rsidR="001D198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DA8D5B3" w14:textId="77777777" w:rsidR="005F3EF3" w:rsidRDefault="005F3EF3" w:rsidP="0067122B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Public Records</w:t>
            </w:r>
          </w:p>
          <w:p w14:paraId="3648ABC6" w14:textId="19E7AB63" w:rsidR="005F3EF3" w:rsidRPr="005F3EF3" w:rsidRDefault="005F3EF3" w:rsidP="0067122B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350-012</w:t>
            </w:r>
            <w:r w:rsidR="001D198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FEE3943" w14:textId="77777777" w:rsidR="005F3EF3" w:rsidRDefault="005F3EF3" w:rsidP="0067122B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Conflicts of Interest</w:t>
            </w:r>
          </w:p>
          <w:p w14:paraId="3395238D" w14:textId="67A6A272" w:rsidR="005F3EF3" w:rsidRPr="005F3EF3" w:rsidRDefault="005F3EF3" w:rsidP="0067122B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350-014</w:t>
            </w:r>
            <w:r w:rsidR="001D198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B4F6E00" w14:textId="77777777" w:rsidR="005F3EF3" w:rsidRDefault="005F3EF3" w:rsidP="0067122B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Admin. Procedure</w:t>
            </w:r>
          </w:p>
          <w:p w14:paraId="7B819DD4" w14:textId="7EB2D311" w:rsidR="005F3EF3" w:rsidRPr="005F3EF3" w:rsidRDefault="005F3EF3" w:rsidP="0067122B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350-016</w:t>
            </w:r>
            <w:r w:rsidR="001D1987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0045B4" w14:paraId="24A2FF23" w14:textId="77777777" w:rsidTr="008A6803">
        <w:tc>
          <w:tcPr>
            <w:tcW w:w="3600" w:type="dxa"/>
            <w:shd w:val="clear" w:color="auto" w:fill="CAEDFB" w:themeFill="accent4" w:themeFillTint="33"/>
          </w:tcPr>
          <w:p w14:paraId="667830C4" w14:textId="6CC756A2" w:rsidR="009E20A7" w:rsidRDefault="001E7B9A" w:rsidP="004D16C3">
            <w:pPr>
              <w:spacing w:before="120" w:after="120"/>
            </w:pPr>
            <w:r>
              <w:t>The Gorge Commission may only adopt r</w:t>
            </w:r>
            <w:r w:rsidR="009E20A7">
              <w:t>ules “for the conduct of [the Gorge Commission’s] business</w:t>
            </w:r>
            <w:r>
              <w:t>.</w:t>
            </w:r>
            <w:r w:rsidR="009E20A7">
              <w:t>”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2BF3AE97" w14:textId="77777777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E7D9319" w14:textId="77777777" w:rsidR="009E20A7" w:rsidRDefault="009E20A7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2C9C568" w14:textId="70F81CF6" w:rsidR="00E95DE9" w:rsidRDefault="00E95DE9" w:rsidP="004D16C3">
            <w:pPr>
              <w:spacing w:before="120" w:after="120"/>
            </w:pPr>
            <w:r>
              <w:t>0020(2)</w:t>
            </w:r>
          </w:p>
          <w:p w14:paraId="7281016B" w14:textId="1D53CC1A" w:rsidR="009E20A7" w:rsidRDefault="00E95DE9" w:rsidP="004D16C3">
            <w:pPr>
              <w:spacing w:before="120" w:after="120"/>
            </w:pPr>
            <w:r>
              <w:t>0130(2)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5A204FD2" w14:textId="77777777" w:rsidR="009E20A7" w:rsidRDefault="009E20A7" w:rsidP="004D16C3">
            <w:pPr>
              <w:spacing w:before="120" w:after="120"/>
            </w:pPr>
          </w:p>
        </w:tc>
      </w:tr>
      <w:tr w:rsidR="00C66FD7" w14:paraId="5C6FC7D6" w14:textId="77777777" w:rsidTr="00427185"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14:paraId="5C6C73D2" w14:textId="24D3F7AC" w:rsidR="00E95DE9" w:rsidRDefault="00764930" w:rsidP="001D1987">
            <w:pPr>
              <w:spacing w:before="120" w:after="120"/>
            </w:pPr>
            <w:r>
              <w:t>350-014-</w:t>
            </w:r>
            <w:r w:rsidR="00E95DE9">
              <w:t xml:space="preserve">0020(2) defines the scope of division 14. This provision is </w:t>
            </w:r>
            <w:r w:rsidR="008F389B">
              <w:t>adapted from</w:t>
            </w:r>
            <w:r w:rsidR="00E95DE9">
              <w:t xml:space="preserve"> ORS 244.390(3), which is within the </w:t>
            </w:r>
            <w:r w:rsidR="001E7B9A">
              <w:t xml:space="preserve">statutory </w:t>
            </w:r>
            <w:r w:rsidR="00E95DE9">
              <w:t xml:space="preserve">series applicable to the Oregon Government Ethics Commission, but refers to the scope of “this chapter,” meaning </w:t>
            </w:r>
            <w:r w:rsidR="008F389B">
              <w:t>that it applies generally and not just to the Oregon Government Ethics Commission</w:t>
            </w:r>
            <w:r w:rsidR="00E95DE9">
              <w:t>. None of the other statutes applicable to the Oregon Government Ethics Commission are included in the Commission’s rules because they do not relate to the Gorge Commission’s business.</w:t>
            </w:r>
          </w:p>
          <w:p w14:paraId="62FE9A3B" w14:textId="2A07DB32" w:rsidR="00C66FD7" w:rsidRDefault="00764930" w:rsidP="001D1987">
            <w:pPr>
              <w:spacing w:before="120" w:after="120"/>
            </w:pPr>
            <w:r>
              <w:t>350-014-</w:t>
            </w:r>
            <w:r w:rsidR="00E95DE9">
              <w:t>0130(2)</w:t>
            </w:r>
            <w:r w:rsidR="00303680">
              <w:t xml:space="preserve"> </w:t>
            </w:r>
            <w:r w:rsidR="00E95DE9">
              <w:t xml:space="preserve">specifies </w:t>
            </w:r>
            <w:r w:rsidR="008F389B">
              <w:t>a</w:t>
            </w:r>
            <w:r w:rsidR="00E95DE9">
              <w:t xml:space="preserve"> remedy </w:t>
            </w:r>
            <w:r w:rsidR="008F389B">
              <w:t xml:space="preserve">that </w:t>
            </w:r>
            <w:r w:rsidR="00E95DE9">
              <w:t xml:space="preserve">a court may apply if a commissioner does not disclose a conflict of interest. </w:t>
            </w:r>
            <w:r w:rsidR="00FB614C">
              <w:t>This administrative rule section cannot govern the courts</w:t>
            </w:r>
            <w:r w:rsidR="00B41152">
              <w:t>,</w:t>
            </w:r>
            <w:r w:rsidR="00FB614C">
              <w:t xml:space="preserve"> and the National Scenic Area Act provides the only manner for enforcement of the Gorge Commission’s rules. The draft rules do not show this in strikeout text, and t</w:t>
            </w:r>
            <w:r w:rsidR="00E95DE9">
              <w:t xml:space="preserve">he attorneys general </w:t>
            </w:r>
            <w:r w:rsidR="008F389B">
              <w:t>did not comment on this section</w:t>
            </w:r>
            <w:r w:rsidR="00E95DE9">
              <w:t xml:space="preserve">. </w:t>
            </w:r>
            <w:r w:rsidR="00FB614C">
              <w:t>T</w:t>
            </w:r>
            <w:r w:rsidR="008F389B">
              <w:t xml:space="preserve">his section needs to be revised </w:t>
            </w:r>
            <w:r w:rsidR="00E95DE9">
              <w:t xml:space="preserve">in </w:t>
            </w:r>
            <w:r w:rsidR="00FB614C">
              <w:t xml:space="preserve">conjunction with similar remedy provisions for all </w:t>
            </w:r>
            <w:r w:rsidR="00E95DE9">
              <w:t>divisions</w:t>
            </w:r>
            <w:r w:rsidR="00FB614C">
              <w:t xml:space="preserve"> of the Gorge Commission’s rules,</w:t>
            </w:r>
            <w:r w:rsidR="00394D97">
              <w:t xml:space="preserve"> and I recommend we come back to this after discussing divisions 11 and 12, where the judicial remedies in the states’ statutes are more pronounced.</w:t>
            </w:r>
          </w:p>
        </w:tc>
      </w:tr>
      <w:tr w:rsidR="000045B4" w14:paraId="7D9ED603" w14:textId="3690C467" w:rsidTr="008A6803">
        <w:tc>
          <w:tcPr>
            <w:tcW w:w="360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00EB66B5" w14:textId="4279E05D" w:rsidR="00C1370D" w:rsidRDefault="001E7B9A" w:rsidP="00FF395E">
            <w:pPr>
              <w:spacing w:before="120" w:after="120"/>
            </w:pPr>
            <w:r>
              <w:t>The Gorge Commission cannot use a state statutory provision that c</w:t>
            </w:r>
            <w:r w:rsidR="00B64DE4">
              <w:t>onflict</w:t>
            </w:r>
            <w:r>
              <w:t>s</w:t>
            </w:r>
            <w:r w:rsidR="00B64DE4">
              <w:t xml:space="preserve"> with the National Scenic Area Act</w:t>
            </w:r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61CFD803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23DBA8EA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15E1B16B" w14:textId="2F97028C" w:rsidR="000045B4" w:rsidRDefault="000045B4" w:rsidP="001D1987">
            <w:pPr>
              <w:spacing w:before="120" w:after="120"/>
            </w:pPr>
            <w:r>
              <w:t>0120(1)(b)</w:t>
            </w:r>
          </w:p>
          <w:p w14:paraId="11F27CDF" w14:textId="5BD1ACDE" w:rsidR="00C1370D" w:rsidRDefault="00394D97" w:rsidP="001D1987">
            <w:pPr>
              <w:spacing w:before="120" w:after="120"/>
            </w:pPr>
            <w:r>
              <w:t>0130(2)</w:t>
            </w:r>
          </w:p>
          <w:p w14:paraId="6ACB7CF4" w14:textId="324991F1" w:rsidR="00394D97" w:rsidRDefault="00394D97" w:rsidP="001D1987">
            <w:pPr>
              <w:spacing w:before="120" w:after="120"/>
            </w:pPr>
            <w:r>
              <w:t>0140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1B859F2B" w14:textId="77777777" w:rsidR="00C1370D" w:rsidRDefault="00C1370D" w:rsidP="001D1987">
            <w:pPr>
              <w:spacing w:before="120" w:after="120"/>
            </w:pPr>
          </w:p>
        </w:tc>
      </w:tr>
      <w:tr w:rsidR="00C66FD7" w14:paraId="1443D245" w14:textId="77777777" w:rsidTr="005D7E1A">
        <w:tc>
          <w:tcPr>
            <w:tcW w:w="9360" w:type="dxa"/>
            <w:gridSpan w:val="5"/>
          </w:tcPr>
          <w:p w14:paraId="4A28C18A" w14:textId="6F295BBE" w:rsidR="000045B4" w:rsidRDefault="000045B4" w:rsidP="001D1987">
            <w:pPr>
              <w:spacing w:before="120" w:after="120"/>
            </w:pPr>
            <w:r>
              <w:t xml:space="preserve">350-014-0120(b)(B) authorizes the rule of necessity </w:t>
            </w:r>
            <w:r w:rsidR="00A449D4">
              <w:t>when</w:t>
            </w:r>
            <w:r>
              <w:t xml:space="preserve"> needed to satisfy the quorum requirement in the National Scenic Area Act. The rule of necessity allows a conflicted member of the commission to vote if </w:t>
            </w:r>
            <w:r w:rsidR="00A449D4">
              <w:t>necessary</w:t>
            </w:r>
            <w:r>
              <w:t xml:space="preserve"> to </w:t>
            </w:r>
            <w:proofErr w:type="gramStart"/>
            <w:r>
              <w:t>make a decision</w:t>
            </w:r>
            <w:proofErr w:type="gramEnd"/>
            <w:r>
              <w:t xml:space="preserve">. </w:t>
            </w:r>
            <w:r w:rsidR="00D26786">
              <w:t xml:space="preserve">Draft rule 350-016-0100(3) codifies the rule of necessity for the Gorge Commission. </w:t>
            </w:r>
            <w:r>
              <w:t>The rule of necessity exists in both Oregon and Washington law</w:t>
            </w:r>
            <w:r w:rsidR="00D26786">
              <w:t xml:space="preserve"> </w:t>
            </w:r>
            <w:r>
              <w:t>but</w:t>
            </w:r>
            <w:r w:rsidR="007430E2">
              <w:t xml:space="preserve"> is not part of the ORS or RCW for state officers. The theory behind the rule of necessity is that it is better to have a decision that may be tainted by a disclosed conflict than no decision at all. Having a decision allows parties to move on or to challenge the Gorge Commission’s decision. Using the rule of necessity is a rare occurrence </w:t>
            </w:r>
            <w:r w:rsidR="00A449D4">
              <w:t xml:space="preserve">for any entity </w:t>
            </w:r>
            <w:r w:rsidR="007430E2">
              <w:t xml:space="preserve">and is highly unlikely for the Gorge Commission because </w:t>
            </w:r>
            <w:r w:rsidR="00A449D4">
              <w:t>six</w:t>
            </w:r>
            <w:r w:rsidR="007430E2">
              <w:t xml:space="preserve"> voting commissioners would need to be conflicted. That has never happened </w:t>
            </w:r>
            <w:r w:rsidR="009E7FBA">
              <w:t>since the Gorge Commission’s inception in 1987</w:t>
            </w:r>
            <w:r w:rsidR="007430E2">
              <w:t>. But this is an important safeguard.</w:t>
            </w:r>
          </w:p>
          <w:p w14:paraId="4F6932CC" w14:textId="432868D9" w:rsidR="00C66FD7" w:rsidRDefault="000045B4" w:rsidP="001D1987">
            <w:pPr>
              <w:spacing w:before="120" w:after="120"/>
            </w:pPr>
            <w:r>
              <w:t>350-014-</w:t>
            </w:r>
            <w:r w:rsidR="00394D97">
              <w:t>0130(2) – see</w:t>
            </w:r>
            <w:r w:rsidR="009E7FBA">
              <w:t xml:space="preserve"> discussion</w:t>
            </w:r>
            <w:r w:rsidR="00394D97">
              <w:t xml:space="preserve"> above</w:t>
            </w:r>
            <w:r w:rsidR="009E7FBA">
              <w:t xml:space="preserve"> in this table.</w:t>
            </w:r>
          </w:p>
          <w:p w14:paraId="2A337CB4" w14:textId="4E12D2A8" w:rsidR="00394D97" w:rsidRDefault="000045B4" w:rsidP="001D1987">
            <w:pPr>
              <w:spacing w:before="120" w:after="120"/>
            </w:pPr>
            <w:r>
              <w:t>350-014-</w:t>
            </w:r>
            <w:r w:rsidR="00394D97">
              <w:t xml:space="preserve">0140 – see </w:t>
            </w:r>
            <w:r w:rsidR="009E7FBA">
              <w:t xml:space="preserve">discussion </w:t>
            </w:r>
            <w:r w:rsidR="00394D97">
              <w:t>above</w:t>
            </w:r>
            <w:r w:rsidR="009E7FBA">
              <w:t xml:space="preserve"> in the second table.</w:t>
            </w:r>
          </w:p>
        </w:tc>
      </w:tr>
      <w:tr w:rsidR="000045B4" w14:paraId="2EC26E8B" w14:textId="759CB7A0" w:rsidTr="008A6803">
        <w:tc>
          <w:tcPr>
            <w:tcW w:w="3600" w:type="dxa"/>
            <w:shd w:val="clear" w:color="auto" w:fill="CAEDFB" w:themeFill="accent4" w:themeFillTint="33"/>
          </w:tcPr>
          <w:p w14:paraId="43110033" w14:textId="1E83C80D" w:rsidR="00C1370D" w:rsidRDefault="00BF60E6" w:rsidP="00FF395E">
            <w:pPr>
              <w:spacing w:before="120" w:after="120"/>
            </w:pPr>
            <w:r>
              <w:lastRenderedPageBreak/>
              <w:t>Choice</w:t>
            </w:r>
            <w:r w:rsidR="007331FA">
              <w:t xml:space="preserve"> between Oregon and Washington law</w:t>
            </w:r>
            <w:r w:rsidR="004A073A">
              <w:t xml:space="preserve"> where one is not more restrictive than the other 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7E416B68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7515DFB2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6A7C4A63" w14:textId="48AF7456" w:rsidR="007F0771" w:rsidRDefault="007F0771" w:rsidP="001D1987">
            <w:pPr>
              <w:spacing w:before="120" w:after="120"/>
            </w:pPr>
            <w:r>
              <w:t>0</w:t>
            </w:r>
            <w:r w:rsidR="00FF60EE">
              <w:t>01</w:t>
            </w:r>
            <w:r>
              <w:t>0(8)</w:t>
            </w:r>
          </w:p>
          <w:p w14:paraId="183D65BF" w14:textId="70A0F8F9" w:rsidR="00C1370D" w:rsidRDefault="00C8425D" w:rsidP="001D1987">
            <w:pPr>
              <w:spacing w:before="120" w:after="120"/>
            </w:pPr>
            <w:r>
              <w:t>0100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0675042A" w14:textId="77777777" w:rsidR="00C1370D" w:rsidRDefault="00C1370D" w:rsidP="001D1987">
            <w:pPr>
              <w:spacing w:before="120" w:after="120"/>
            </w:pPr>
          </w:p>
        </w:tc>
      </w:tr>
      <w:tr w:rsidR="00C66FD7" w14:paraId="303293FE" w14:textId="77777777" w:rsidTr="009A6EF7">
        <w:tc>
          <w:tcPr>
            <w:tcW w:w="9360" w:type="dxa"/>
            <w:gridSpan w:val="5"/>
          </w:tcPr>
          <w:p w14:paraId="53B3B4F9" w14:textId="3B958FB0" w:rsidR="007F0771" w:rsidRDefault="007F0771" w:rsidP="001D1987">
            <w:pPr>
              <w:spacing w:before="120" w:after="120"/>
            </w:pPr>
            <w:r>
              <w:t xml:space="preserve">350-014-0100 </w:t>
            </w:r>
            <w:r w:rsidR="001F3911">
              <w:t>Gifts</w:t>
            </w:r>
            <w:r>
              <w:t>.</w:t>
            </w:r>
            <w:r w:rsidR="001F3911">
              <w:t xml:space="preserve"> </w:t>
            </w:r>
            <w:r w:rsidR="00377F08">
              <w:t xml:space="preserve">Both states define </w:t>
            </w:r>
            <w:r w:rsidR="00A449D4">
              <w:t>“</w:t>
            </w:r>
            <w:r w:rsidR="00377F08">
              <w:t>gift</w:t>
            </w:r>
            <w:r w:rsidR="00A449D4">
              <w:t>”</w:t>
            </w:r>
            <w:r w:rsidR="00377F08">
              <w:t xml:space="preserve"> similarly </w:t>
            </w:r>
            <w:r w:rsidR="00B14064">
              <w:t>and both</w:t>
            </w:r>
            <w:r w:rsidR="00377F08">
              <w:t xml:space="preserve"> have long lists of exclusions in the definition. </w:t>
            </w:r>
            <w:r w:rsidR="00B14064">
              <w:t xml:space="preserve">ORS 244.020(7) defines gift, including a long list of items that do not constitute a gift, and </w:t>
            </w:r>
            <w:r w:rsidR="001F3911">
              <w:t>ORS 244.040(2)(g) prohibits gifts not excluded in the definition of “gift.”</w:t>
            </w:r>
            <w:r>
              <w:t xml:space="preserve"> </w:t>
            </w:r>
            <w:r w:rsidR="001F3911">
              <w:t xml:space="preserve">RCW </w:t>
            </w:r>
            <w:r w:rsidR="00377F08">
              <w:t xml:space="preserve">42.52.140 </w:t>
            </w:r>
            <w:r w:rsidR="00B14064">
              <w:t>prohibits</w:t>
            </w:r>
            <w:r w:rsidR="00377F08">
              <w:t xml:space="preserve"> gift</w:t>
            </w:r>
            <w:r w:rsidR="00B14064">
              <w:t>s</w:t>
            </w:r>
            <w:r w:rsidR="00377F08">
              <w:t xml:space="preserve"> and RCW </w:t>
            </w:r>
            <w:r w:rsidR="001F3911">
              <w:t xml:space="preserve">42.52.150 </w:t>
            </w:r>
            <w:r w:rsidR="00B14064">
              <w:t xml:space="preserve">defines gift, including a long list of items that do not constitute a gift, prohibits accepting gifts, and </w:t>
            </w:r>
            <w:r w:rsidR="001F3911">
              <w:t>contains a</w:t>
            </w:r>
            <w:r w:rsidR="00377F08">
              <w:t>nother long</w:t>
            </w:r>
            <w:r w:rsidR="001F3911">
              <w:t xml:space="preserve"> list of items that </w:t>
            </w:r>
            <w:r w:rsidR="00B14064">
              <w:t>presumably would not influence a public official</w:t>
            </w:r>
            <w:r w:rsidR="001F3911">
              <w:t>.</w:t>
            </w:r>
            <w:r w:rsidR="00291B81">
              <w:t xml:space="preserve"> The</w:t>
            </w:r>
            <w:r w:rsidR="00C81263">
              <w:t>re are many overlaps in the states’ lists. The draft rules use Oregon law because Washington law allows giving items with a cumulative value up to $100 whereas Oregon law allows only gifts up to $50. Although Washington’s list is more specific, the use of Oregon law ensures congruity between value and definition of gift.</w:t>
            </w:r>
          </w:p>
        </w:tc>
      </w:tr>
      <w:tr w:rsidR="000045B4" w14:paraId="39B5DCFA" w14:textId="522D8670" w:rsidTr="008A6803">
        <w:tc>
          <w:tcPr>
            <w:tcW w:w="3600" w:type="dxa"/>
            <w:shd w:val="clear" w:color="auto" w:fill="CAEDFB" w:themeFill="accent4" w:themeFillTint="33"/>
          </w:tcPr>
          <w:p w14:paraId="7417846A" w14:textId="6244F142" w:rsidR="00C1370D" w:rsidRDefault="007331FA" w:rsidP="00FF395E">
            <w:pPr>
              <w:spacing w:before="120" w:after="120"/>
            </w:pPr>
            <w:r>
              <w:t>Adapting state law to apply to the Gorge Commission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453FC002" w14:textId="07911A09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514AA542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78B65F5" w14:textId="174BF030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79D337B9" w14:textId="77777777" w:rsidR="00C1370D" w:rsidRDefault="00C1370D" w:rsidP="001D1987">
            <w:pPr>
              <w:spacing w:before="120" w:after="120"/>
            </w:pPr>
          </w:p>
        </w:tc>
      </w:tr>
      <w:tr w:rsidR="00C66FD7" w14:paraId="5C85E4BE" w14:textId="77777777" w:rsidTr="00347887">
        <w:tc>
          <w:tcPr>
            <w:tcW w:w="9360" w:type="dxa"/>
            <w:gridSpan w:val="5"/>
          </w:tcPr>
          <w:p w14:paraId="12D04F7B" w14:textId="3158C216" w:rsidR="00C66FD7" w:rsidRDefault="00924DCB" w:rsidP="001D1987">
            <w:pPr>
              <w:spacing w:before="120" w:after="120"/>
            </w:pPr>
            <w:r>
              <w:t>A</w:t>
            </w:r>
            <w:r w:rsidR="00ED78AB">
              <w:t>ll t</w:t>
            </w:r>
            <w:r w:rsidR="00750006">
              <w:t>he Gorge Commission’s rules adapt the states’ laws</w:t>
            </w:r>
            <w:r w:rsidR="00203F10">
              <w:t xml:space="preserve"> to some extent, even if just changing a word, like “state” to “Gorge Commission.” </w:t>
            </w:r>
          </w:p>
        </w:tc>
      </w:tr>
      <w:tr w:rsidR="000045B4" w14:paraId="4236EA7A" w14:textId="370DBE9A" w:rsidTr="008A6803">
        <w:tc>
          <w:tcPr>
            <w:tcW w:w="3600" w:type="dxa"/>
            <w:shd w:val="clear" w:color="auto" w:fill="CAEDFB" w:themeFill="accent4" w:themeFillTint="33"/>
          </w:tcPr>
          <w:p w14:paraId="10EB2AE8" w14:textId="7D309277" w:rsidR="00C1370D" w:rsidRDefault="003C4BA6" w:rsidP="00FF395E">
            <w:pPr>
              <w:spacing w:before="120" w:after="120"/>
            </w:pPr>
            <w:r>
              <w:t xml:space="preserve">Choice to use state law requirements that </w:t>
            </w:r>
            <w:r w:rsidR="00337A9C">
              <w:t>are not required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28D9AFB8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5B5F8B50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2555E04E" w14:textId="36427644" w:rsidR="00C1370D" w:rsidRDefault="008377CA" w:rsidP="001D1987">
            <w:pPr>
              <w:spacing w:before="120" w:after="120"/>
            </w:pPr>
            <w:r>
              <w:t>None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6A8AD950" w14:textId="77777777" w:rsidR="00C1370D" w:rsidRDefault="00C1370D" w:rsidP="001D1987">
            <w:pPr>
              <w:spacing w:before="120" w:after="120"/>
            </w:pPr>
          </w:p>
        </w:tc>
      </w:tr>
      <w:tr w:rsidR="00C66FD7" w14:paraId="3AF609B3" w14:textId="77777777" w:rsidTr="00780F00">
        <w:tc>
          <w:tcPr>
            <w:tcW w:w="9360" w:type="dxa"/>
            <w:gridSpan w:val="5"/>
          </w:tcPr>
          <w:p w14:paraId="64415F68" w14:textId="77777777" w:rsidR="00C66FD7" w:rsidRDefault="00C66FD7" w:rsidP="001D1987">
            <w:pPr>
              <w:spacing w:before="120" w:after="120"/>
            </w:pPr>
          </w:p>
        </w:tc>
      </w:tr>
      <w:tr w:rsidR="008F5109" w14:paraId="0B1BCE6F" w14:textId="77777777" w:rsidTr="004B0D07">
        <w:tc>
          <w:tcPr>
            <w:tcW w:w="3600" w:type="dxa"/>
            <w:shd w:val="clear" w:color="auto" w:fill="CAEDFB" w:themeFill="accent4" w:themeFillTint="33"/>
          </w:tcPr>
          <w:p w14:paraId="43BF3D3E" w14:textId="77777777" w:rsidR="008F5109" w:rsidRDefault="008F5109" w:rsidP="004B0D07">
            <w:pPr>
              <w:spacing w:before="120" w:after="120"/>
            </w:pPr>
            <w:r>
              <w:t>Using both states’ laws rather than adapting one state’s law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1A9D4FC3" w14:textId="77777777" w:rsidR="008F5109" w:rsidRDefault="008F5109" w:rsidP="004B0D0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2009B652" w14:textId="77777777" w:rsidR="008F5109" w:rsidRDefault="008F5109" w:rsidP="004B0D0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2FA43065" w14:textId="77777777" w:rsidR="008F5109" w:rsidRDefault="008F5109" w:rsidP="004B0D07">
            <w:pPr>
              <w:spacing w:before="120" w:after="120"/>
            </w:pPr>
            <w:r>
              <w:t>0120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48E16CE8" w14:textId="77777777" w:rsidR="008F5109" w:rsidRDefault="008F5109" w:rsidP="004B0D07">
            <w:pPr>
              <w:spacing w:before="120" w:after="120"/>
            </w:pPr>
          </w:p>
        </w:tc>
      </w:tr>
      <w:tr w:rsidR="008F5109" w14:paraId="43F42B45" w14:textId="77777777" w:rsidTr="004B0D07">
        <w:tc>
          <w:tcPr>
            <w:tcW w:w="9360" w:type="dxa"/>
            <w:gridSpan w:val="5"/>
          </w:tcPr>
          <w:p w14:paraId="44CB3D1C" w14:textId="66222B32" w:rsidR="008F5109" w:rsidRDefault="008F5109" w:rsidP="004B0D07">
            <w:pPr>
              <w:spacing w:before="120" w:after="120"/>
            </w:pPr>
            <w:r>
              <w:t xml:space="preserve">350-014-0120 – see </w:t>
            </w:r>
            <w:r w:rsidR="00BF60E6">
              <w:t xml:space="preserve">discussion </w:t>
            </w:r>
            <w:r>
              <w:t>below</w:t>
            </w:r>
            <w:r w:rsidR="00BF60E6">
              <w:t xml:space="preserve"> in this table.</w:t>
            </w:r>
          </w:p>
        </w:tc>
      </w:tr>
      <w:tr w:rsidR="000045B4" w14:paraId="64E148A2" w14:textId="6BBFCF1E" w:rsidTr="008A6803">
        <w:tc>
          <w:tcPr>
            <w:tcW w:w="3600" w:type="dxa"/>
            <w:shd w:val="clear" w:color="auto" w:fill="CAEDFB" w:themeFill="accent4" w:themeFillTint="33"/>
          </w:tcPr>
          <w:p w14:paraId="4FCE32D8" w14:textId="1C1782A3" w:rsidR="00C1370D" w:rsidRDefault="008F5109" w:rsidP="00FF395E">
            <w:pPr>
              <w:spacing w:before="120" w:after="120"/>
            </w:pPr>
            <w:r>
              <w:t>Blending the states’ laws (significant examples)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34817138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23AA01E8" w14:textId="2B7DBEC7" w:rsidR="00FF395E" w:rsidRDefault="00FF395E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87991CF" w14:textId="0F8F2573" w:rsidR="00C1370D" w:rsidRDefault="00CD6F39" w:rsidP="001D1987">
            <w:pPr>
              <w:spacing w:before="120" w:after="120"/>
            </w:pPr>
            <w:r>
              <w:t>0</w:t>
            </w:r>
            <w:r w:rsidR="008F5109">
              <w:t>060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2ADB78DC" w14:textId="64A0857D" w:rsidR="00C1370D" w:rsidRDefault="00C1370D" w:rsidP="001D1987">
            <w:pPr>
              <w:spacing w:before="120" w:after="120"/>
            </w:pPr>
          </w:p>
        </w:tc>
      </w:tr>
      <w:tr w:rsidR="00C66FD7" w14:paraId="56C08D2D" w14:textId="77777777" w:rsidTr="00B804F5">
        <w:tc>
          <w:tcPr>
            <w:tcW w:w="9360" w:type="dxa"/>
            <w:gridSpan w:val="5"/>
          </w:tcPr>
          <w:p w14:paraId="48008379" w14:textId="3473B538" w:rsidR="00C66FD7" w:rsidRDefault="00CD6F39" w:rsidP="001D1987">
            <w:pPr>
              <w:spacing w:before="120" w:after="120"/>
            </w:pPr>
            <w:r>
              <w:t>350-014-0</w:t>
            </w:r>
            <w:r w:rsidR="008F5109">
              <w:t>060 prohibits unauthorized disclosure of confidential information. This rule adapts RCW 42.52.050</w:t>
            </w:r>
            <w:r w:rsidR="00FC23BB">
              <w:t xml:space="preserve"> </w:t>
            </w:r>
            <w:r w:rsidR="008F5109">
              <w:t>but also makes the prohibitions in that statute applicable to former public officials as provided in ORS 244.040(4) and (5).</w:t>
            </w:r>
          </w:p>
        </w:tc>
      </w:tr>
      <w:tr w:rsidR="000045B4" w14:paraId="0CEAC4A1" w14:textId="40B84E6A" w:rsidTr="008A6803">
        <w:tc>
          <w:tcPr>
            <w:tcW w:w="3600" w:type="dxa"/>
            <w:shd w:val="clear" w:color="auto" w:fill="CAEDFB" w:themeFill="accent4" w:themeFillTint="33"/>
          </w:tcPr>
          <w:p w14:paraId="31AC6025" w14:textId="2A601238" w:rsidR="00C1370D" w:rsidRDefault="00BF60E6" w:rsidP="00FF395E">
            <w:pPr>
              <w:spacing w:before="120" w:after="120"/>
            </w:pPr>
            <w:r>
              <w:t xml:space="preserve">Whether a </w:t>
            </w:r>
            <w:r w:rsidR="00400C8C">
              <w:t>statute in one state or silence in the other state</w:t>
            </w:r>
            <w:r w:rsidR="000045B4">
              <w:t xml:space="preserve"> is more restrictive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3CF1377E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4A805A2E" w14:textId="7D2DEB6A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162E7BBB" w14:textId="77777777" w:rsidR="00C1370D" w:rsidRDefault="00275DEE" w:rsidP="001D1987">
            <w:pPr>
              <w:spacing w:before="120" w:after="120"/>
            </w:pPr>
            <w:r>
              <w:t>0120</w:t>
            </w:r>
          </w:p>
          <w:p w14:paraId="79A4FEB6" w14:textId="1328CCDD" w:rsidR="00CD6F39" w:rsidRDefault="00CD6F39" w:rsidP="001D1987">
            <w:pPr>
              <w:spacing w:before="120" w:after="120"/>
            </w:pPr>
            <w:r>
              <w:t>0130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49CC93E3" w14:textId="77777777" w:rsidR="00C1370D" w:rsidRDefault="00C1370D" w:rsidP="001D1987">
            <w:pPr>
              <w:spacing w:before="120" w:after="120"/>
            </w:pPr>
          </w:p>
        </w:tc>
      </w:tr>
      <w:tr w:rsidR="00C66FD7" w14:paraId="59C55E8F" w14:textId="77777777" w:rsidTr="00DD7443">
        <w:tc>
          <w:tcPr>
            <w:tcW w:w="9360" w:type="dxa"/>
            <w:gridSpan w:val="5"/>
          </w:tcPr>
          <w:p w14:paraId="24065432" w14:textId="1309B104" w:rsidR="00C66FD7" w:rsidRDefault="00275DEE" w:rsidP="001D1987">
            <w:pPr>
              <w:spacing w:before="120" w:after="120"/>
            </w:pPr>
            <w:r>
              <w:t>350-</w:t>
            </w:r>
            <w:r w:rsidR="00CD6F39">
              <w:t>0</w:t>
            </w:r>
            <w:r>
              <w:t>14-0120 distinguishes between potential conflicts of interest and actual conflicts of interest. This is a distinction in Oregon law. In Oregon, potential conflicts are waivable; actual conflicts are not waivable</w:t>
            </w:r>
            <w:r w:rsidR="00766110">
              <w:t>. Washington law does not make this distinction. Washington’s laws prohibit an interest that conflict</w:t>
            </w:r>
            <w:r w:rsidR="008377CA">
              <w:t>s</w:t>
            </w:r>
            <w:r w:rsidR="00766110">
              <w:t xml:space="preserve"> with official duties</w:t>
            </w:r>
            <w:r w:rsidR="001F3911">
              <w:t xml:space="preserve"> (</w:t>
            </w:r>
            <w:r w:rsidR="00766110">
              <w:t>RCW 42.52.020, captured in 350-014-0030</w:t>
            </w:r>
            <w:r w:rsidR="001F3911">
              <w:t>)</w:t>
            </w:r>
            <w:r w:rsidR="00766110">
              <w:t xml:space="preserve"> and are specific in what is permitted and what is not. Those specifics are captured in the </w:t>
            </w:r>
            <w:r w:rsidR="00CD6F39">
              <w:lastRenderedPageBreak/>
              <w:t xml:space="preserve">draft </w:t>
            </w:r>
            <w:r w:rsidR="00766110">
              <w:t xml:space="preserve">rules for financial interests, assisting in transactions, </w:t>
            </w:r>
            <w:r w:rsidR="00CD6F39">
              <w:t>compensation for outside activities, honoraria, gifts, etc.</w:t>
            </w:r>
            <w:r w:rsidR="00766110">
              <w:t xml:space="preserve">, so the </w:t>
            </w:r>
            <w:r w:rsidR="00CD6F39">
              <w:t xml:space="preserve">draft </w:t>
            </w:r>
            <w:r w:rsidR="00766110">
              <w:t>rules use both the Washington and Oregon approaches.</w:t>
            </w:r>
          </w:p>
          <w:p w14:paraId="44AA7132" w14:textId="139D6D30" w:rsidR="00CD6F39" w:rsidRDefault="00CD6F39" w:rsidP="001D1987">
            <w:pPr>
              <w:spacing w:before="120" w:after="120"/>
            </w:pPr>
            <w:r>
              <w:t xml:space="preserve">350-014-0130 requires recording disclosures of conflicts in meeting minutes. </w:t>
            </w:r>
            <w:r w:rsidR="00D42FE9">
              <w:t xml:space="preserve">This comes from ORS 244.130. </w:t>
            </w:r>
            <w:r>
              <w:t xml:space="preserve">Washington does not have this requirement in </w:t>
            </w:r>
            <w:r w:rsidR="001F3911">
              <w:t xml:space="preserve">RCW </w:t>
            </w:r>
            <w:r>
              <w:t xml:space="preserve">42.52 but does for municipal officers in </w:t>
            </w:r>
            <w:r w:rsidR="001F3911">
              <w:t xml:space="preserve">RCW </w:t>
            </w:r>
            <w:r>
              <w:t xml:space="preserve">42.23. The Gorge Commission is not a municipal entity and county appointees are not municipal officers as defined in </w:t>
            </w:r>
            <w:r w:rsidR="001F3911">
              <w:t xml:space="preserve">RCW </w:t>
            </w:r>
            <w:r>
              <w:t>42.23.020.</w:t>
            </w:r>
            <w:r w:rsidR="00D42FE9">
              <w:t xml:space="preserve"> Recording disclosures in meeting minutes is a form of transparency and is thus the more restrictive practice.</w:t>
            </w:r>
          </w:p>
        </w:tc>
      </w:tr>
      <w:tr w:rsidR="000045B4" w14:paraId="3D930A96" w14:textId="48524A66" w:rsidTr="008A6803">
        <w:tc>
          <w:tcPr>
            <w:tcW w:w="3600" w:type="dxa"/>
            <w:shd w:val="clear" w:color="auto" w:fill="CAEDFB" w:themeFill="accent4" w:themeFillTint="33"/>
          </w:tcPr>
          <w:p w14:paraId="2585FE86" w14:textId="2A002395" w:rsidR="00C1370D" w:rsidRDefault="00400C8C" w:rsidP="00FF395E">
            <w:pPr>
              <w:spacing w:before="120" w:after="120"/>
            </w:pPr>
            <w:r>
              <w:lastRenderedPageBreak/>
              <w:t>Where one state’s law permits but the other state’s law prohibits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208230B3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48F3C94A" w14:textId="77777777" w:rsidR="00C1370D" w:rsidRDefault="00C1370D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17FD0A37" w14:textId="77C77761" w:rsidR="00C1370D" w:rsidRDefault="00D42FE9" w:rsidP="001D1987">
            <w:pPr>
              <w:spacing w:before="120" w:after="120"/>
            </w:pPr>
            <w:r>
              <w:t>None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617DADAE" w14:textId="77777777" w:rsidR="00C1370D" w:rsidRDefault="00C1370D" w:rsidP="001D1987">
            <w:pPr>
              <w:spacing w:before="120" w:after="120"/>
            </w:pPr>
          </w:p>
        </w:tc>
      </w:tr>
      <w:tr w:rsidR="00C66FD7" w14:paraId="35FB9D2D" w14:textId="77777777" w:rsidTr="0000249C">
        <w:tc>
          <w:tcPr>
            <w:tcW w:w="9360" w:type="dxa"/>
            <w:gridSpan w:val="5"/>
          </w:tcPr>
          <w:p w14:paraId="5A381E9F" w14:textId="77777777" w:rsidR="00C66FD7" w:rsidRDefault="00C66FD7" w:rsidP="001D1987">
            <w:pPr>
              <w:spacing w:before="120" w:after="120"/>
            </w:pPr>
          </w:p>
        </w:tc>
      </w:tr>
      <w:tr w:rsidR="000045B4" w14:paraId="61F5907B" w14:textId="77777777" w:rsidTr="008A6803">
        <w:tc>
          <w:tcPr>
            <w:tcW w:w="3600" w:type="dxa"/>
            <w:shd w:val="clear" w:color="auto" w:fill="CAEDFB" w:themeFill="accent4" w:themeFillTint="33"/>
          </w:tcPr>
          <w:p w14:paraId="53EE7BBD" w14:textId="52A3C675" w:rsidR="00344CB7" w:rsidRDefault="0016143C" w:rsidP="00FF395E">
            <w:pPr>
              <w:spacing w:before="120" w:after="120"/>
            </w:pPr>
            <w:r>
              <w:t xml:space="preserve">Best practice from </w:t>
            </w:r>
            <w:r w:rsidR="008377CA">
              <w:t xml:space="preserve">a </w:t>
            </w:r>
            <w:r>
              <w:t>reference</w:t>
            </w:r>
            <w:r w:rsidR="008377CA">
              <w:t>, treatise, o</w:t>
            </w:r>
            <w:r w:rsidR="007E007E">
              <w:t>r other</w:t>
            </w:r>
            <w:r w:rsidR="002F2657">
              <w:t xml:space="preserve"> source outside of</w:t>
            </w:r>
            <w:r>
              <w:t xml:space="preserve"> </w:t>
            </w:r>
            <w:r w:rsidR="007E007E">
              <w:t xml:space="preserve">the states’ </w:t>
            </w:r>
            <w:r>
              <w:t>statutes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7F0DD820" w14:textId="77777777" w:rsidR="00344CB7" w:rsidRDefault="00344CB7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512934FE" w14:textId="44961FA8" w:rsidR="00344CB7" w:rsidRDefault="00344CB7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4E2C75F" w14:textId="2CFEE666" w:rsidR="00344CB7" w:rsidRDefault="00D8586B" w:rsidP="001D1987">
            <w:pPr>
              <w:spacing w:before="120" w:after="120"/>
            </w:pPr>
            <w:r>
              <w:t>0120(1)(b)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7B074BD8" w14:textId="65AD4DFF" w:rsidR="008F61C7" w:rsidRDefault="008F61C7" w:rsidP="001D1987">
            <w:pPr>
              <w:spacing w:before="120" w:after="120"/>
            </w:pPr>
          </w:p>
        </w:tc>
      </w:tr>
      <w:tr w:rsidR="00C66FD7" w14:paraId="409D8DC5" w14:textId="77777777" w:rsidTr="000E4F63">
        <w:tc>
          <w:tcPr>
            <w:tcW w:w="9360" w:type="dxa"/>
            <w:gridSpan w:val="5"/>
          </w:tcPr>
          <w:p w14:paraId="40CAD6C1" w14:textId="0C5B6E2C" w:rsidR="00C66FD7" w:rsidRDefault="00D8586B" w:rsidP="001D1987">
            <w:pPr>
              <w:spacing w:before="120" w:after="120"/>
            </w:pPr>
            <w:r>
              <w:t>350-014-0120(1)(b)(B) prohibits a commissioner who is participating under the rule of necessity from participating in the vote, except to vote. Washington law, RCW 42.36.090</w:t>
            </w:r>
            <w:r w:rsidR="007708C0">
              <w:t xml:space="preserve">, </w:t>
            </w:r>
            <w:r>
              <w:t xml:space="preserve">allows full participation, but Oregon’s Land Use Board of Appeals has reasoned that participation in deliberations is not necessary, only the vote is necessary. </w:t>
            </w:r>
            <w:r w:rsidRPr="00D8586B">
              <w:rPr>
                <w:i/>
                <w:iCs/>
              </w:rPr>
              <w:t>Wal-Mart Stores, Inc. v. City of Hood River</w:t>
            </w:r>
            <w:r>
              <w:t>, 67 Or LUBA 332 (2013).</w:t>
            </w:r>
          </w:p>
        </w:tc>
      </w:tr>
      <w:tr w:rsidR="000045B4" w14:paraId="41FF14E1" w14:textId="77777777" w:rsidTr="00BB6861">
        <w:tc>
          <w:tcPr>
            <w:tcW w:w="3600" w:type="dxa"/>
            <w:shd w:val="clear" w:color="auto" w:fill="CAEDFB" w:themeFill="accent4" w:themeFillTint="33"/>
          </w:tcPr>
          <w:p w14:paraId="0E8F729A" w14:textId="77777777" w:rsidR="00400C8C" w:rsidRDefault="00400C8C" w:rsidP="00FF395E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02C4727" w14:textId="77777777" w:rsidR="00400C8C" w:rsidRDefault="00400C8C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2DB26867" w14:textId="77777777" w:rsidR="00400C8C" w:rsidRDefault="00400C8C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05C0AF7" w14:textId="77777777" w:rsidR="00400C8C" w:rsidRDefault="00400C8C" w:rsidP="001D198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561D6D83" w14:textId="77777777" w:rsidR="00400C8C" w:rsidRDefault="00400C8C" w:rsidP="001D1987">
            <w:pPr>
              <w:spacing w:before="120" w:after="120"/>
            </w:pPr>
          </w:p>
        </w:tc>
      </w:tr>
      <w:tr w:rsidR="00BB6861" w14:paraId="0C00FA94" w14:textId="77777777" w:rsidTr="003E7168">
        <w:tc>
          <w:tcPr>
            <w:tcW w:w="9360" w:type="dxa"/>
            <w:gridSpan w:val="5"/>
          </w:tcPr>
          <w:p w14:paraId="4B440858" w14:textId="77777777" w:rsidR="00BB6861" w:rsidRDefault="00BB6861" w:rsidP="001D1987">
            <w:pPr>
              <w:spacing w:before="120" w:after="120"/>
            </w:pPr>
          </w:p>
        </w:tc>
      </w:tr>
    </w:tbl>
    <w:p w14:paraId="13140DEA" w14:textId="4B8B27D1" w:rsidR="00587A72" w:rsidRDefault="00587A72"/>
    <w:p w14:paraId="388B1F46" w14:textId="77777777" w:rsidR="007331FA" w:rsidRDefault="007331FA"/>
    <w:p w14:paraId="1613C32F" w14:textId="77777777" w:rsidR="00924DCB" w:rsidRDefault="00924DCB">
      <w:r>
        <w:br w:type="page"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</w:tblGrid>
      <w:tr w:rsidR="007331FA" w:rsidRPr="00C1370D" w14:paraId="115FDB99" w14:textId="77777777" w:rsidTr="008A6803">
        <w:trPr>
          <w:trHeight w:val="475"/>
        </w:trPr>
        <w:tc>
          <w:tcPr>
            <w:tcW w:w="3600" w:type="dxa"/>
            <w:vMerge w:val="restart"/>
            <w:shd w:val="clear" w:color="auto" w:fill="60CAF3" w:themeFill="accent4" w:themeFillTint="99"/>
          </w:tcPr>
          <w:p w14:paraId="7C7D9103" w14:textId="58036A59" w:rsidR="007331FA" w:rsidRPr="00C1370D" w:rsidRDefault="00E25F82" w:rsidP="004D16C3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Other Discussion</w:t>
            </w:r>
          </w:p>
        </w:tc>
        <w:tc>
          <w:tcPr>
            <w:tcW w:w="5760" w:type="dxa"/>
            <w:gridSpan w:val="4"/>
            <w:shd w:val="clear" w:color="auto" w:fill="60CAF3" w:themeFill="accent4" w:themeFillTint="99"/>
            <w:vAlign w:val="center"/>
          </w:tcPr>
          <w:p w14:paraId="78312B87" w14:textId="77777777" w:rsidR="007331FA" w:rsidRPr="00C1370D" w:rsidRDefault="007331FA" w:rsidP="004D16C3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C1370D">
              <w:rPr>
                <w:b/>
                <w:bCs/>
                <w:sz w:val="32"/>
                <w:szCs w:val="32"/>
              </w:rPr>
              <w:t>Rule Sections</w:t>
            </w:r>
          </w:p>
        </w:tc>
      </w:tr>
      <w:tr w:rsidR="007331FA" w:rsidRPr="005F3EF3" w14:paraId="7CFDAA42" w14:textId="77777777" w:rsidTr="004D16C3">
        <w:tc>
          <w:tcPr>
            <w:tcW w:w="3600" w:type="dxa"/>
            <w:vMerge/>
            <w:tcBorders>
              <w:bottom w:val="single" w:sz="12" w:space="0" w:color="auto"/>
            </w:tcBorders>
            <w:vAlign w:val="center"/>
          </w:tcPr>
          <w:p w14:paraId="2578324F" w14:textId="77777777" w:rsidR="007331FA" w:rsidRPr="005F3EF3" w:rsidRDefault="007331FA" w:rsidP="004D16C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F2EBD3F" w14:textId="77777777" w:rsidR="007331FA" w:rsidRDefault="007331FA" w:rsidP="004D16C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Open Meetings</w:t>
            </w:r>
          </w:p>
          <w:p w14:paraId="0F1EC460" w14:textId="77777777" w:rsidR="007331FA" w:rsidRPr="005F3EF3" w:rsidRDefault="007331FA" w:rsidP="004D16C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350-011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A6049FA" w14:textId="77777777" w:rsidR="007331FA" w:rsidRDefault="007331FA" w:rsidP="004D16C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Public Records</w:t>
            </w:r>
          </w:p>
          <w:p w14:paraId="4B02D103" w14:textId="77777777" w:rsidR="007331FA" w:rsidRPr="005F3EF3" w:rsidRDefault="007331FA" w:rsidP="004D16C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350-012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6194E16" w14:textId="77777777" w:rsidR="007331FA" w:rsidRDefault="007331FA" w:rsidP="004D16C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Conflicts of Interest</w:t>
            </w:r>
          </w:p>
          <w:p w14:paraId="53D56E58" w14:textId="77777777" w:rsidR="007331FA" w:rsidRPr="005F3EF3" w:rsidRDefault="007331FA" w:rsidP="004D16C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350-014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DF70354" w14:textId="77777777" w:rsidR="007331FA" w:rsidRDefault="007331FA" w:rsidP="004D16C3">
            <w:pPr>
              <w:spacing w:after="120"/>
              <w:rPr>
                <w:b/>
                <w:bCs/>
              </w:rPr>
            </w:pPr>
            <w:r w:rsidRPr="005F3EF3">
              <w:rPr>
                <w:b/>
                <w:bCs/>
              </w:rPr>
              <w:t>Admin. Procedure</w:t>
            </w:r>
          </w:p>
          <w:p w14:paraId="484793CB" w14:textId="77777777" w:rsidR="007331FA" w:rsidRPr="005F3EF3" w:rsidRDefault="007331FA" w:rsidP="004D16C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5F3EF3">
              <w:rPr>
                <w:b/>
                <w:bCs/>
                <w:sz w:val="28"/>
                <w:szCs w:val="28"/>
              </w:rPr>
              <w:t>350-016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97436F" w14:paraId="573A437A" w14:textId="77777777" w:rsidTr="004B0D07">
        <w:trPr>
          <w:trHeight w:val="3752"/>
        </w:trPr>
        <w:tc>
          <w:tcPr>
            <w:tcW w:w="3600" w:type="dxa"/>
            <w:shd w:val="clear" w:color="auto" w:fill="CAEDFB" w:themeFill="accent4" w:themeFillTint="33"/>
          </w:tcPr>
          <w:p w14:paraId="68370B9B" w14:textId="77777777" w:rsidR="0097436F" w:rsidRDefault="0097436F" w:rsidP="004B0D07">
            <w:pPr>
              <w:spacing w:before="120" w:after="120"/>
            </w:pPr>
            <w:r>
              <w:t>Training Requirements:</w:t>
            </w:r>
          </w:p>
          <w:p w14:paraId="22C5377D" w14:textId="77777777" w:rsidR="0097436F" w:rsidRDefault="0097436F" w:rsidP="004B0D07">
            <w:pPr>
              <w:spacing w:before="120" w:after="120"/>
            </w:pPr>
            <w:r w:rsidRPr="00ED57F0">
              <w:t>ORS 192.700 and RCW 42.30.205</w:t>
            </w:r>
            <w:r>
              <w:t xml:space="preserve"> require training on state open public meetings laws. </w:t>
            </w:r>
          </w:p>
          <w:p w14:paraId="02EE8BC2" w14:textId="77777777" w:rsidR="0097436F" w:rsidRDefault="0097436F" w:rsidP="004B0D07">
            <w:pPr>
              <w:spacing w:before="120" w:after="120"/>
            </w:pPr>
            <w:r>
              <w:t>RCW 42.56.150 requires training on state public records laws. Oregon does not have a mandatory training requirement.</w:t>
            </w:r>
          </w:p>
          <w:p w14:paraId="147440AF" w14:textId="77777777" w:rsidR="0097436F" w:rsidRDefault="0097436F" w:rsidP="004B0D07">
            <w:pPr>
              <w:spacing w:before="120" w:after="120"/>
            </w:pPr>
            <w:r>
              <w:t>Neither state requires mandatory training for conflicts of interest or for administrative procedure, and Washington does not require training for appearance of fairness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4AE23DB0" w14:textId="77777777" w:rsidR="0097436F" w:rsidRDefault="0097436F" w:rsidP="004B0D0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646557AF" w14:textId="77777777" w:rsidR="0097436F" w:rsidRDefault="0097436F" w:rsidP="004B0D07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1EE1D11B" w14:textId="77777777" w:rsidR="0097436F" w:rsidRDefault="0097436F" w:rsidP="004B0D07">
            <w:pPr>
              <w:spacing w:before="120" w:after="120"/>
            </w:pPr>
            <w:r>
              <w:t>Add new rule?</w:t>
            </w:r>
          </w:p>
        </w:tc>
        <w:tc>
          <w:tcPr>
            <w:tcW w:w="1440" w:type="dxa"/>
            <w:shd w:val="clear" w:color="auto" w:fill="CAEDFB" w:themeFill="accent4" w:themeFillTint="33"/>
          </w:tcPr>
          <w:p w14:paraId="581FCE4D" w14:textId="77777777" w:rsidR="0097436F" w:rsidRDefault="0097436F" w:rsidP="004B0D07">
            <w:pPr>
              <w:spacing w:before="120" w:after="120"/>
            </w:pPr>
          </w:p>
        </w:tc>
      </w:tr>
      <w:tr w:rsidR="0097436F" w14:paraId="175F46F9" w14:textId="77777777" w:rsidTr="004B0D07">
        <w:tc>
          <w:tcPr>
            <w:tcW w:w="9360" w:type="dxa"/>
            <w:gridSpan w:val="5"/>
          </w:tcPr>
          <w:p w14:paraId="713B818C" w14:textId="23968474" w:rsidR="0097436F" w:rsidRDefault="0097436F" w:rsidP="004B0D07">
            <w:pPr>
              <w:spacing w:before="120" w:after="120"/>
            </w:pPr>
            <w:r>
              <w:t xml:space="preserve">We can use and adapt written training from the states; we can request state trainers to do training and adapt their standard materials to our rules; or we can </w:t>
            </w:r>
            <w:r w:rsidR="000D20BA">
              <w:t>create</w:t>
            </w:r>
            <w:r>
              <w:t xml:space="preserve"> our own training. Staff orientations for new commissioners may also satisfy or partially satisfy these requirements.</w:t>
            </w:r>
          </w:p>
          <w:p w14:paraId="12E5DD16" w14:textId="606415AE" w:rsidR="0097436F" w:rsidRDefault="0097436F" w:rsidP="004B0D07">
            <w:pPr>
              <w:spacing w:before="120" w:after="120"/>
            </w:pPr>
            <w:r>
              <w:t>We would need to create and conduct our own training for appearance of fairness and administrative procedure.</w:t>
            </w:r>
          </w:p>
        </w:tc>
      </w:tr>
      <w:tr w:rsidR="007331FA" w14:paraId="4DDE5579" w14:textId="77777777" w:rsidTr="00BB6861">
        <w:tc>
          <w:tcPr>
            <w:tcW w:w="3600" w:type="dxa"/>
            <w:tcBorders>
              <w:top w:val="single" w:sz="12" w:space="0" w:color="auto"/>
            </w:tcBorders>
            <w:shd w:val="clear" w:color="auto" w:fill="CAEDFB" w:themeFill="accent4" w:themeFillTint="33"/>
          </w:tcPr>
          <w:p w14:paraId="2A79AC2D" w14:textId="3A7C3B43" w:rsidR="007331FA" w:rsidRDefault="007331FA" w:rsidP="00FF395E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CAEDFB" w:themeFill="accent4" w:themeFillTint="33"/>
          </w:tcPr>
          <w:p w14:paraId="18CEFA1D" w14:textId="77777777" w:rsidR="007331FA" w:rsidRDefault="007331FA" w:rsidP="004D16C3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CAEDFB" w:themeFill="accent4" w:themeFillTint="33"/>
          </w:tcPr>
          <w:p w14:paraId="575DF41D" w14:textId="77777777" w:rsidR="007331FA" w:rsidRDefault="007331FA" w:rsidP="004D16C3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CAEDFB" w:themeFill="accent4" w:themeFillTint="33"/>
          </w:tcPr>
          <w:p w14:paraId="4A6AE49C" w14:textId="77777777" w:rsidR="007331FA" w:rsidRDefault="007331FA" w:rsidP="004D16C3">
            <w:pPr>
              <w:spacing w:before="120" w:after="120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CAEDFB" w:themeFill="accent4" w:themeFillTint="33"/>
          </w:tcPr>
          <w:p w14:paraId="01D119FB" w14:textId="77777777" w:rsidR="007331FA" w:rsidRDefault="007331FA" w:rsidP="004D16C3">
            <w:pPr>
              <w:spacing w:before="120" w:after="120"/>
            </w:pPr>
          </w:p>
        </w:tc>
      </w:tr>
      <w:tr w:rsidR="00BB6861" w14:paraId="0F516AAC" w14:textId="77777777" w:rsidTr="00A17CB8">
        <w:tc>
          <w:tcPr>
            <w:tcW w:w="9360" w:type="dxa"/>
            <w:gridSpan w:val="5"/>
          </w:tcPr>
          <w:p w14:paraId="2701E8EC" w14:textId="77777777" w:rsidR="00BB6861" w:rsidRDefault="00BB6861" w:rsidP="004D16C3">
            <w:pPr>
              <w:spacing w:before="120" w:after="120"/>
            </w:pPr>
          </w:p>
        </w:tc>
      </w:tr>
      <w:tr w:rsidR="00C857A4" w14:paraId="7BCADA2D" w14:textId="77777777" w:rsidTr="00BB6861">
        <w:tc>
          <w:tcPr>
            <w:tcW w:w="3600" w:type="dxa"/>
            <w:shd w:val="clear" w:color="auto" w:fill="CAEDFB" w:themeFill="accent4" w:themeFillTint="33"/>
          </w:tcPr>
          <w:p w14:paraId="304D9C83" w14:textId="77777777" w:rsidR="00C857A4" w:rsidRDefault="00C857A4" w:rsidP="00FF395E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2C7A2D0D" w14:textId="77777777" w:rsidR="00C857A4" w:rsidRDefault="00C857A4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661F0EEE" w14:textId="77777777" w:rsidR="00C857A4" w:rsidRDefault="00C857A4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508CBE0A" w14:textId="77777777" w:rsidR="00C857A4" w:rsidRDefault="00C857A4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42636FF5" w14:textId="77777777" w:rsidR="00C857A4" w:rsidRDefault="00C857A4" w:rsidP="004D16C3">
            <w:pPr>
              <w:spacing w:before="120" w:after="120"/>
            </w:pPr>
          </w:p>
        </w:tc>
      </w:tr>
      <w:tr w:rsidR="00C857A4" w14:paraId="1C26CBC9" w14:textId="77777777" w:rsidTr="004434B6">
        <w:tc>
          <w:tcPr>
            <w:tcW w:w="9360" w:type="dxa"/>
            <w:gridSpan w:val="5"/>
          </w:tcPr>
          <w:p w14:paraId="34181D3F" w14:textId="77777777" w:rsidR="00C857A4" w:rsidRDefault="00C857A4" w:rsidP="004D16C3">
            <w:pPr>
              <w:spacing w:before="120" w:after="120"/>
            </w:pPr>
          </w:p>
        </w:tc>
      </w:tr>
      <w:tr w:rsidR="007331FA" w14:paraId="2A318282" w14:textId="77777777" w:rsidTr="00BB6861">
        <w:tc>
          <w:tcPr>
            <w:tcW w:w="3600" w:type="dxa"/>
            <w:shd w:val="clear" w:color="auto" w:fill="CAEDFB" w:themeFill="accent4" w:themeFillTint="33"/>
          </w:tcPr>
          <w:p w14:paraId="41760028" w14:textId="7CA707CC" w:rsidR="007331FA" w:rsidRDefault="007331FA" w:rsidP="00FF395E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66F0D6CB" w14:textId="77777777" w:rsidR="007331FA" w:rsidRDefault="007331FA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406D28E6" w14:textId="77777777" w:rsidR="007331FA" w:rsidRDefault="007331FA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36C6E2C3" w14:textId="77777777" w:rsidR="007331FA" w:rsidRDefault="007331FA" w:rsidP="004D16C3">
            <w:pPr>
              <w:spacing w:before="120" w:after="120"/>
            </w:pPr>
          </w:p>
        </w:tc>
        <w:tc>
          <w:tcPr>
            <w:tcW w:w="1440" w:type="dxa"/>
            <w:shd w:val="clear" w:color="auto" w:fill="CAEDFB" w:themeFill="accent4" w:themeFillTint="33"/>
          </w:tcPr>
          <w:p w14:paraId="06F61934" w14:textId="77777777" w:rsidR="007331FA" w:rsidRDefault="007331FA" w:rsidP="004D16C3">
            <w:pPr>
              <w:spacing w:before="120" w:after="120"/>
            </w:pPr>
          </w:p>
        </w:tc>
      </w:tr>
      <w:tr w:rsidR="00BB6861" w14:paraId="4B465390" w14:textId="77777777" w:rsidTr="00F51BFB">
        <w:tc>
          <w:tcPr>
            <w:tcW w:w="9360" w:type="dxa"/>
            <w:gridSpan w:val="5"/>
          </w:tcPr>
          <w:p w14:paraId="3B807CF3" w14:textId="77777777" w:rsidR="00BB6861" w:rsidRDefault="00BB6861" w:rsidP="004D16C3">
            <w:pPr>
              <w:spacing w:before="120" w:after="120"/>
            </w:pPr>
          </w:p>
        </w:tc>
      </w:tr>
    </w:tbl>
    <w:p w14:paraId="37FCE8D9" w14:textId="77777777" w:rsidR="007331FA" w:rsidRDefault="007331FA"/>
    <w:sectPr w:rsidR="007331F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76D3" w14:textId="77777777" w:rsidR="00805439" w:rsidRDefault="00805439" w:rsidP="005E668F">
      <w:r>
        <w:separator/>
      </w:r>
    </w:p>
  </w:endnote>
  <w:endnote w:type="continuationSeparator" w:id="0">
    <w:p w14:paraId="003A50A2" w14:textId="77777777" w:rsidR="00805439" w:rsidRDefault="00805439" w:rsidP="005E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B80C" w14:textId="77777777" w:rsidR="00924DCB" w:rsidRDefault="00924DCB" w:rsidP="005E668F">
    <w:pPr>
      <w:pStyle w:val="Footer"/>
      <w:jc w:val="center"/>
    </w:pPr>
  </w:p>
  <w:p w14:paraId="33DA34CA" w14:textId="6CAA7122" w:rsidR="00924DCB" w:rsidRDefault="00924DCB" w:rsidP="005E66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B86917C" w14:textId="33F14EDF" w:rsidR="005E668F" w:rsidRDefault="005E668F" w:rsidP="005E668F">
    <w:pPr>
      <w:pStyle w:val="Footer"/>
      <w:jc w:val="center"/>
    </w:pPr>
    <w:r>
      <w:t xml:space="preserve">DRAFT – </w:t>
    </w:r>
    <w:r w:rsidR="00C81263">
      <w:t>AUGUST 13</w:t>
    </w:r>
    <w:r w:rsidR="00400B42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2EC9" w14:textId="77777777" w:rsidR="00805439" w:rsidRDefault="00805439" w:rsidP="005E668F">
      <w:r>
        <w:separator/>
      </w:r>
    </w:p>
  </w:footnote>
  <w:footnote w:type="continuationSeparator" w:id="0">
    <w:p w14:paraId="03578A85" w14:textId="77777777" w:rsidR="00805439" w:rsidRDefault="00805439" w:rsidP="005E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0D"/>
    <w:rsid w:val="000045B4"/>
    <w:rsid w:val="00026F20"/>
    <w:rsid w:val="0004589D"/>
    <w:rsid w:val="00063B8D"/>
    <w:rsid w:val="000649FA"/>
    <w:rsid w:val="00077B2B"/>
    <w:rsid w:val="000A2214"/>
    <w:rsid w:val="000C677E"/>
    <w:rsid w:val="000D20BA"/>
    <w:rsid w:val="0013405B"/>
    <w:rsid w:val="001407DB"/>
    <w:rsid w:val="0016143C"/>
    <w:rsid w:val="001B42E3"/>
    <w:rsid w:val="001D1987"/>
    <w:rsid w:val="001E7B9A"/>
    <w:rsid w:val="001F3911"/>
    <w:rsid w:val="00200A2C"/>
    <w:rsid w:val="00203F10"/>
    <w:rsid w:val="00275DEE"/>
    <w:rsid w:val="00291B81"/>
    <w:rsid w:val="00297E0D"/>
    <w:rsid w:val="002B6D2F"/>
    <w:rsid w:val="002F2657"/>
    <w:rsid w:val="002F49AA"/>
    <w:rsid w:val="00303680"/>
    <w:rsid w:val="00315887"/>
    <w:rsid w:val="003301A0"/>
    <w:rsid w:val="00332839"/>
    <w:rsid w:val="00337A9C"/>
    <w:rsid w:val="00344CB7"/>
    <w:rsid w:val="00345DBB"/>
    <w:rsid w:val="00377F08"/>
    <w:rsid w:val="00384CDC"/>
    <w:rsid w:val="00394D97"/>
    <w:rsid w:val="003C4BA6"/>
    <w:rsid w:val="003D131B"/>
    <w:rsid w:val="003E22BC"/>
    <w:rsid w:val="003F15A3"/>
    <w:rsid w:val="00400B42"/>
    <w:rsid w:val="00400C8C"/>
    <w:rsid w:val="00415E4C"/>
    <w:rsid w:val="00444D79"/>
    <w:rsid w:val="00452D3D"/>
    <w:rsid w:val="00453F0F"/>
    <w:rsid w:val="00464F93"/>
    <w:rsid w:val="00470984"/>
    <w:rsid w:val="0048230E"/>
    <w:rsid w:val="0049088B"/>
    <w:rsid w:val="004A073A"/>
    <w:rsid w:val="004D6D31"/>
    <w:rsid w:val="00532ED4"/>
    <w:rsid w:val="00587A72"/>
    <w:rsid w:val="00593ED3"/>
    <w:rsid w:val="005B37C9"/>
    <w:rsid w:val="005C612D"/>
    <w:rsid w:val="005E668F"/>
    <w:rsid w:val="005F3EF3"/>
    <w:rsid w:val="005F6295"/>
    <w:rsid w:val="005F7588"/>
    <w:rsid w:val="00626992"/>
    <w:rsid w:val="0063138E"/>
    <w:rsid w:val="00651AE9"/>
    <w:rsid w:val="0067122B"/>
    <w:rsid w:val="006B46CF"/>
    <w:rsid w:val="007331FA"/>
    <w:rsid w:val="007430E2"/>
    <w:rsid w:val="00750006"/>
    <w:rsid w:val="00764930"/>
    <w:rsid w:val="00766110"/>
    <w:rsid w:val="007708C0"/>
    <w:rsid w:val="00773D59"/>
    <w:rsid w:val="007835F0"/>
    <w:rsid w:val="007C5F1C"/>
    <w:rsid w:val="007E007E"/>
    <w:rsid w:val="007F0771"/>
    <w:rsid w:val="00805439"/>
    <w:rsid w:val="008166FC"/>
    <w:rsid w:val="008377CA"/>
    <w:rsid w:val="00842D9D"/>
    <w:rsid w:val="00860DB5"/>
    <w:rsid w:val="008811FF"/>
    <w:rsid w:val="0088588A"/>
    <w:rsid w:val="00890BCB"/>
    <w:rsid w:val="00892CE2"/>
    <w:rsid w:val="00895166"/>
    <w:rsid w:val="008953C8"/>
    <w:rsid w:val="008A6803"/>
    <w:rsid w:val="008D1DA2"/>
    <w:rsid w:val="008D52FA"/>
    <w:rsid w:val="008E7925"/>
    <w:rsid w:val="008F37A3"/>
    <w:rsid w:val="008F389B"/>
    <w:rsid w:val="008F5109"/>
    <w:rsid w:val="008F61C7"/>
    <w:rsid w:val="00914F8C"/>
    <w:rsid w:val="00924DCB"/>
    <w:rsid w:val="00942260"/>
    <w:rsid w:val="0097436F"/>
    <w:rsid w:val="00991E4A"/>
    <w:rsid w:val="009A17BB"/>
    <w:rsid w:val="009E20A7"/>
    <w:rsid w:val="009E7FBA"/>
    <w:rsid w:val="00A0686F"/>
    <w:rsid w:val="00A246B2"/>
    <w:rsid w:val="00A44184"/>
    <w:rsid w:val="00A449D4"/>
    <w:rsid w:val="00A518B6"/>
    <w:rsid w:val="00AA4848"/>
    <w:rsid w:val="00B03E94"/>
    <w:rsid w:val="00B14064"/>
    <w:rsid w:val="00B32DD7"/>
    <w:rsid w:val="00B41152"/>
    <w:rsid w:val="00B56B61"/>
    <w:rsid w:val="00B64DE4"/>
    <w:rsid w:val="00B83E11"/>
    <w:rsid w:val="00BA48E3"/>
    <w:rsid w:val="00BB6861"/>
    <w:rsid w:val="00BF60E6"/>
    <w:rsid w:val="00BF7750"/>
    <w:rsid w:val="00C12C08"/>
    <w:rsid w:val="00C1370D"/>
    <w:rsid w:val="00C41F55"/>
    <w:rsid w:val="00C4387A"/>
    <w:rsid w:val="00C458AC"/>
    <w:rsid w:val="00C66FD7"/>
    <w:rsid w:val="00C81263"/>
    <w:rsid w:val="00C8425D"/>
    <w:rsid w:val="00C857A4"/>
    <w:rsid w:val="00CB37D3"/>
    <w:rsid w:val="00CC2883"/>
    <w:rsid w:val="00CC75B6"/>
    <w:rsid w:val="00CD1368"/>
    <w:rsid w:val="00CD6F39"/>
    <w:rsid w:val="00D26786"/>
    <w:rsid w:val="00D42FE9"/>
    <w:rsid w:val="00D72A93"/>
    <w:rsid w:val="00D8586B"/>
    <w:rsid w:val="00DB7F50"/>
    <w:rsid w:val="00DD2445"/>
    <w:rsid w:val="00E07889"/>
    <w:rsid w:val="00E2191E"/>
    <w:rsid w:val="00E25F82"/>
    <w:rsid w:val="00E41BC4"/>
    <w:rsid w:val="00E81332"/>
    <w:rsid w:val="00E95DE9"/>
    <w:rsid w:val="00EC7A3E"/>
    <w:rsid w:val="00ED57F0"/>
    <w:rsid w:val="00ED78AB"/>
    <w:rsid w:val="00F4196F"/>
    <w:rsid w:val="00F53118"/>
    <w:rsid w:val="00FA384B"/>
    <w:rsid w:val="00FB41D8"/>
    <w:rsid w:val="00FB614C"/>
    <w:rsid w:val="00FC23BB"/>
    <w:rsid w:val="00FD062E"/>
    <w:rsid w:val="00FD6BDC"/>
    <w:rsid w:val="00FF395E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A87E"/>
  <w15:chartTrackingRefBased/>
  <w15:docId w15:val="{54B0F09A-9399-441D-A6BE-E206DC5C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BB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7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7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7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7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7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7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7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7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7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7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70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70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70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70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70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70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13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7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7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7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137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70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C13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70D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137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68F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68F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7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Litwak</dc:creator>
  <cp:keywords/>
  <dc:description/>
  <cp:lastModifiedBy>Jeff Litwak</cp:lastModifiedBy>
  <cp:revision>41</cp:revision>
  <dcterms:created xsi:type="dcterms:W3CDTF">2024-12-16T21:57:00Z</dcterms:created>
  <dcterms:modified xsi:type="dcterms:W3CDTF">2025-08-14T18:07:00Z</dcterms:modified>
</cp:coreProperties>
</file>